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4630" w14:textId="77777777" w:rsidR="00B0343E" w:rsidRDefault="00802046">
      <w:pPr>
        <w:pStyle w:val="Standard"/>
        <w:jc w:val="right"/>
      </w:pPr>
      <w:r>
        <w:rPr>
          <w:b/>
          <w:sz w:val="28"/>
          <w:szCs w:val="28"/>
          <w:lang w:val="ro-RO"/>
        </w:rPr>
        <w:t>Anexa nr. 6 la HCL_____</w:t>
      </w:r>
    </w:p>
    <w:p w14:paraId="37E155C3" w14:textId="77777777" w:rsidR="00B0343E" w:rsidRDefault="00B0343E">
      <w:pPr>
        <w:pStyle w:val="Standard"/>
        <w:jc w:val="right"/>
        <w:rPr>
          <w:b/>
          <w:sz w:val="28"/>
          <w:szCs w:val="28"/>
          <w:lang w:val="ro-RO"/>
        </w:rPr>
      </w:pPr>
    </w:p>
    <w:p w14:paraId="5AA3E7C4" w14:textId="77777777" w:rsidR="00B0343E" w:rsidRDefault="00802046">
      <w:pPr>
        <w:pStyle w:val="Standard"/>
        <w:jc w:val="center"/>
      </w:pPr>
      <w:r>
        <w:rPr>
          <w:b/>
          <w:sz w:val="28"/>
          <w:szCs w:val="28"/>
          <w:lang w:val="ro-RO"/>
        </w:rPr>
        <w:t>Procedura</w:t>
      </w:r>
    </w:p>
    <w:p w14:paraId="5CFF2072" w14:textId="77777777" w:rsidR="00B0343E" w:rsidRDefault="00802046">
      <w:pPr>
        <w:pStyle w:val="Standard"/>
        <w:jc w:val="center"/>
      </w:pPr>
      <w:r>
        <w:rPr>
          <w:b/>
          <w:sz w:val="28"/>
          <w:szCs w:val="28"/>
          <w:lang w:val="ro-RO"/>
        </w:rPr>
        <w:t xml:space="preserve"> de acordare a facilităților fiscale contribuabililor care reabilitează termic</w:t>
      </w:r>
    </w:p>
    <w:p w14:paraId="428C91E0" w14:textId="77777777" w:rsidR="00B0343E" w:rsidRDefault="00802046">
      <w:pPr>
        <w:pStyle w:val="Standard"/>
        <w:jc w:val="center"/>
      </w:pPr>
      <w:r>
        <w:rPr>
          <w:b/>
          <w:sz w:val="28"/>
          <w:szCs w:val="28"/>
          <w:lang w:val="ro-RO"/>
        </w:rPr>
        <w:t xml:space="preserve">clădirile cu destinație de locuință în condițiile Legii nr.158/2011 pentru aprobarea OUG 18/2009 privind creșterea </w:t>
      </w:r>
      <w:r>
        <w:rPr>
          <w:b/>
          <w:sz w:val="28"/>
          <w:szCs w:val="28"/>
          <w:lang w:val="ro-RO"/>
        </w:rPr>
        <w:t>performanței energetice a blocurilor de locuințe</w:t>
      </w:r>
    </w:p>
    <w:p w14:paraId="25C51DC3" w14:textId="77777777" w:rsidR="00B0343E" w:rsidRDefault="00B0343E">
      <w:pPr>
        <w:pStyle w:val="Standard"/>
        <w:rPr>
          <w:b/>
          <w:sz w:val="28"/>
          <w:szCs w:val="28"/>
          <w:lang w:val="ro-RO"/>
        </w:rPr>
      </w:pPr>
    </w:p>
    <w:p w14:paraId="16137E16" w14:textId="77777777" w:rsidR="00B0343E" w:rsidRDefault="00802046">
      <w:pPr>
        <w:pStyle w:val="Standard"/>
        <w:ind w:firstLine="720"/>
        <w:jc w:val="both"/>
      </w:pPr>
      <w:r>
        <w:rPr>
          <w:sz w:val="28"/>
          <w:szCs w:val="28"/>
          <w:lang w:val="ro-RO"/>
        </w:rPr>
        <w:br/>
      </w:r>
      <w:r>
        <w:rPr>
          <w:sz w:val="28"/>
          <w:szCs w:val="28"/>
          <w:lang w:val="ro-RO"/>
        </w:rPr>
        <w:t xml:space="preserve">          I. Beneficiarii acestei facilităţi sunt proprietarii apartamentelor din blocurile de locuinţe şi ai imobilelor, care au executat, pe cheltuială proprie, lucrările de intervenţie pentru creşterea</w:t>
      </w:r>
      <w:r>
        <w:rPr>
          <w:sz w:val="28"/>
          <w:szCs w:val="28"/>
          <w:lang w:val="ro-RO"/>
        </w:rPr>
        <w:t xml:space="preserve"> performanţei energetice prevăzute la art.4 alin.1 lit. a) din OUG nr.18/2009 privind creşterea performanţei energetice a blocurilor de locuinţe, aprobata prin Legea nr. 158/2011, cu modificările si completările ulterioare, respectiv:</w:t>
      </w:r>
    </w:p>
    <w:p w14:paraId="04D8C6F8" w14:textId="77777777" w:rsidR="00B0343E" w:rsidRDefault="00802046">
      <w:pPr>
        <w:pStyle w:val="Standard"/>
        <w:jc w:val="both"/>
      </w:pPr>
      <w:r>
        <w:rPr>
          <w:sz w:val="28"/>
          <w:szCs w:val="28"/>
          <w:lang w:val="ro-RO"/>
        </w:rPr>
        <w:t>    - izolarea termic</w:t>
      </w:r>
      <w:r>
        <w:rPr>
          <w:sz w:val="28"/>
          <w:szCs w:val="28"/>
          <w:lang w:val="ro-RO"/>
        </w:rPr>
        <w:t>ă a faţadei - parte vitrată, prin înlocuirea tâmplăriei exterioare existente, inclusiv a celei aferente accesului în blocul de locuinţe, cu tâmplărie termoizolantă pentru îmbunătăţirea performanţei energetice a părţii vitrate, tâmplărie dotată cu dispoziti</w:t>
      </w:r>
      <w:r>
        <w:rPr>
          <w:sz w:val="28"/>
          <w:szCs w:val="28"/>
          <w:lang w:val="ro-RO"/>
        </w:rPr>
        <w:t>ve/fante/grile pentru aerisirea controlată a spaţiilor ocupate şi evitarea apariţiei condensului pe elementele de anvelopă;</w:t>
      </w:r>
    </w:p>
    <w:p w14:paraId="0B55DBAF" w14:textId="77777777" w:rsidR="00B0343E" w:rsidRDefault="00802046">
      <w:pPr>
        <w:pStyle w:val="Standard"/>
        <w:jc w:val="both"/>
      </w:pPr>
      <w:r>
        <w:rPr>
          <w:sz w:val="28"/>
          <w:szCs w:val="28"/>
          <w:lang w:val="ro-RO"/>
        </w:rPr>
        <w:t>    - izolarea termică a faţadei - parte opacă, inclusiv termo-hidroizolarea terasei, respectiv termoizolarea planşeului peste ultim</w:t>
      </w:r>
      <w:r>
        <w:rPr>
          <w:sz w:val="28"/>
          <w:szCs w:val="28"/>
          <w:lang w:val="ro-RO"/>
        </w:rPr>
        <w:t>ul nivel în cazul existenţei şarpantei, cu sisteme termoizolante;</w:t>
      </w:r>
      <w:r>
        <w:rPr>
          <w:sz w:val="28"/>
          <w:szCs w:val="28"/>
          <w:lang w:val="ro-RO"/>
        </w:rPr>
        <w:br/>
      </w:r>
      <w:r>
        <w:rPr>
          <w:sz w:val="28"/>
          <w:szCs w:val="28"/>
          <w:lang w:val="ro-RO"/>
        </w:rPr>
        <w:t>    - închiderea balcoanelor şi/sau a logiilor cu tâmplărie termoizolantă, inclusiv izolarea termică a parapeţilor, cu respectarea prevederilor art. 1 alin. (3) şi art. 3 alin. (3) din OUG n</w:t>
      </w:r>
      <w:r>
        <w:rPr>
          <w:sz w:val="28"/>
          <w:szCs w:val="28"/>
          <w:lang w:val="ro-RO"/>
        </w:rPr>
        <w:t>r.18/2009 actualizată;</w:t>
      </w:r>
    </w:p>
    <w:p w14:paraId="77D975E7" w14:textId="77777777" w:rsidR="00B0343E" w:rsidRDefault="00802046">
      <w:pPr>
        <w:pStyle w:val="Standard"/>
        <w:numPr>
          <w:ilvl w:val="0"/>
          <w:numId w:val="2"/>
        </w:numPr>
        <w:tabs>
          <w:tab w:val="left" w:pos="0"/>
        </w:tabs>
        <w:ind w:left="0" w:firstLine="315"/>
        <w:jc w:val="both"/>
      </w:pPr>
      <w:r>
        <w:rPr>
          <w:sz w:val="28"/>
          <w:szCs w:val="28"/>
          <w:lang w:val="ro-RO"/>
        </w:rPr>
        <w:t>izolarea termică a planşeului peste subsol, în cazul în care prin proiectarea blocului sunt prevăzute apartamente la parter.</w:t>
      </w:r>
    </w:p>
    <w:p w14:paraId="6C8D1AFF" w14:textId="77777777" w:rsidR="00B0343E" w:rsidRDefault="00802046">
      <w:pPr>
        <w:pStyle w:val="Standard"/>
        <w:ind w:firstLine="720"/>
        <w:jc w:val="both"/>
      </w:pPr>
      <w:r>
        <w:rPr>
          <w:sz w:val="28"/>
          <w:szCs w:val="28"/>
          <w:lang w:val="ro-RO"/>
        </w:rPr>
        <w:t>Realizarea lucrărilor de intervenţie are ca scop creşterea performanţei energetice a blocurilor de locuinţe,</w:t>
      </w:r>
      <w:r>
        <w:rPr>
          <w:sz w:val="28"/>
          <w:szCs w:val="28"/>
          <w:lang w:val="ro-RO"/>
        </w:rPr>
        <w:t xml:space="preserve"> astfel încât consumul anual specific de energie calculat să scadă sub 100 kWh/mp arie utilă, în condiţii de eficienţă economică.</w:t>
      </w:r>
    </w:p>
    <w:p w14:paraId="7C51A10B" w14:textId="77777777" w:rsidR="00B0343E" w:rsidRDefault="00B0343E">
      <w:pPr>
        <w:pStyle w:val="Standard"/>
        <w:jc w:val="both"/>
        <w:rPr>
          <w:sz w:val="28"/>
          <w:szCs w:val="28"/>
          <w:lang w:val="ro-RO"/>
        </w:rPr>
      </w:pPr>
    </w:p>
    <w:p w14:paraId="629C1F4D" w14:textId="77777777" w:rsidR="00B0343E" w:rsidRDefault="00802046">
      <w:pPr>
        <w:pStyle w:val="Standard"/>
        <w:ind w:firstLine="720"/>
        <w:jc w:val="both"/>
      </w:pPr>
      <w:r>
        <w:rPr>
          <w:sz w:val="28"/>
          <w:szCs w:val="28"/>
          <w:lang w:val="ro-RO"/>
        </w:rPr>
        <w:t>II. Pentru a beneficia de această facilitate, contribuabilii trebuie să îndeplinească următoarele condiţii:</w:t>
      </w:r>
    </w:p>
    <w:p w14:paraId="1A69B400" w14:textId="77777777" w:rsidR="00B0343E" w:rsidRDefault="00802046">
      <w:pPr>
        <w:pStyle w:val="Standard"/>
        <w:jc w:val="both"/>
      </w:pPr>
      <w:r>
        <w:rPr>
          <w:sz w:val="28"/>
          <w:szCs w:val="28"/>
          <w:lang w:val="ro-RO"/>
        </w:rPr>
        <w:t xml:space="preserve">- Să </w:t>
      </w:r>
      <w:r>
        <w:rPr>
          <w:sz w:val="28"/>
          <w:szCs w:val="28"/>
          <w:lang w:val="ro-RO"/>
        </w:rPr>
        <w:t>realizeze lucrările de intervenţie exclusiv din surse proprii;</w:t>
      </w:r>
    </w:p>
    <w:p w14:paraId="642B3479" w14:textId="77777777" w:rsidR="00B0343E" w:rsidRDefault="00802046">
      <w:pPr>
        <w:pStyle w:val="Standard"/>
        <w:jc w:val="both"/>
      </w:pPr>
      <w:r>
        <w:rPr>
          <w:sz w:val="28"/>
          <w:szCs w:val="28"/>
          <w:lang w:val="ro-RO"/>
        </w:rPr>
        <w:t>- Lucrările de intervenţie trebuie să fie efectuate la întregul bloc de locuinţe, eventual pe tronsoane;</w:t>
      </w:r>
    </w:p>
    <w:p w14:paraId="6888E2F1" w14:textId="77777777" w:rsidR="00B0343E" w:rsidRDefault="00802046">
      <w:pPr>
        <w:pStyle w:val="Standard"/>
        <w:jc w:val="both"/>
      </w:pPr>
      <w:r>
        <w:rPr>
          <w:sz w:val="28"/>
          <w:szCs w:val="28"/>
          <w:lang w:val="ro-RO"/>
        </w:rPr>
        <w:t>- Lucrările de intervenţie trebuie să fie recomandate de către auditorul energetic în ce</w:t>
      </w:r>
      <w:r>
        <w:rPr>
          <w:sz w:val="28"/>
          <w:szCs w:val="28"/>
          <w:lang w:val="ro-RO"/>
        </w:rPr>
        <w:t xml:space="preserve">rtificatul de performanţă energetică sau în raportul de audit energetic, </w:t>
      </w:r>
      <w:r>
        <w:rPr>
          <w:sz w:val="28"/>
          <w:szCs w:val="28"/>
          <w:lang w:val="ro-RO"/>
        </w:rPr>
        <w:lastRenderedPageBreak/>
        <w:t>fundamentate în raportul de audit energetic şi, după caz, în raportul de expertiză tehnică şi detaliate în proiectul tehnic şi detaliile de execuţie;</w:t>
      </w:r>
    </w:p>
    <w:p w14:paraId="66772159" w14:textId="77777777" w:rsidR="00B0343E" w:rsidRDefault="00802046">
      <w:pPr>
        <w:pStyle w:val="Standard"/>
        <w:jc w:val="both"/>
      </w:pPr>
      <w:r>
        <w:rPr>
          <w:sz w:val="28"/>
          <w:szCs w:val="28"/>
          <w:lang w:val="ro-RO"/>
        </w:rPr>
        <w:t>- Realizarea lucrărilor de interv</w:t>
      </w:r>
      <w:r>
        <w:rPr>
          <w:sz w:val="28"/>
          <w:szCs w:val="28"/>
          <w:lang w:val="ro-RO"/>
        </w:rPr>
        <w:t>enţie trebuie să aibă ca scop creşterea performanţei energetice a blocurilor de locuinţe sau a clădirilor astfel încât consumul anual specific de enrgie calculat pentru încălzire să scadă sub 100 kWh/mp arie utilă, în condiţii de eficienţă economică;</w:t>
      </w:r>
    </w:p>
    <w:p w14:paraId="03473F75" w14:textId="77777777" w:rsidR="00B0343E" w:rsidRDefault="00802046">
      <w:pPr>
        <w:pStyle w:val="Standard"/>
        <w:jc w:val="both"/>
      </w:pPr>
      <w:r>
        <w:rPr>
          <w:sz w:val="28"/>
          <w:szCs w:val="28"/>
          <w:lang w:val="ro-RO"/>
        </w:rPr>
        <w:t>- Din</w:t>
      </w:r>
      <w:r>
        <w:rPr>
          <w:sz w:val="28"/>
          <w:szCs w:val="28"/>
          <w:lang w:val="ro-RO"/>
        </w:rPr>
        <w:t xml:space="preserve"> procesul verbal de recepţie la terminarea lucrărilor, întocmit în condiţiile legii, trebuie să reiasă că s-au realizat lucrările recomandate de auditorul energetic;</w:t>
      </w:r>
    </w:p>
    <w:p w14:paraId="5F5A2319" w14:textId="77777777" w:rsidR="00B0343E" w:rsidRDefault="00802046">
      <w:pPr>
        <w:pStyle w:val="Standard"/>
        <w:jc w:val="both"/>
      </w:pPr>
      <w:r>
        <w:rPr>
          <w:sz w:val="28"/>
          <w:szCs w:val="28"/>
          <w:lang w:val="ro-RO"/>
        </w:rPr>
        <w:t>- La data depunerii cererii, nu au obligaţii restante la bugetul local.</w:t>
      </w:r>
    </w:p>
    <w:p w14:paraId="20016DBF" w14:textId="77777777" w:rsidR="00B0343E" w:rsidRDefault="00802046">
      <w:pPr>
        <w:pStyle w:val="Standard"/>
        <w:ind w:firstLine="720"/>
        <w:jc w:val="both"/>
      </w:pPr>
      <w:r>
        <w:rPr>
          <w:sz w:val="28"/>
          <w:szCs w:val="28"/>
          <w:lang w:val="ro-RO"/>
        </w:rPr>
        <w:br/>
      </w:r>
      <w:r>
        <w:rPr>
          <w:sz w:val="28"/>
          <w:szCs w:val="28"/>
          <w:lang w:val="ro-RO"/>
        </w:rPr>
        <w:t xml:space="preserve">          III. Re</w:t>
      </w:r>
      <w:r>
        <w:rPr>
          <w:sz w:val="28"/>
          <w:szCs w:val="28"/>
          <w:lang w:val="ro-RO"/>
        </w:rPr>
        <w:t>ducerea se acordă pe o perioada de 7 ani, cu începere de la data de întâi ianuarie a anului fiscal următor finalizării lucrărilor de reabilitare. Facilitatea reglementată prin prezenta anexă se aplică începând cu anul 2016.</w:t>
      </w:r>
    </w:p>
    <w:p w14:paraId="71DC05EF" w14:textId="77777777" w:rsidR="00B0343E" w:rsidRDefault="00802046">
      <w:pPr>
        <w:pStyle w:val="Standard"/>
        <w:ind w:firstLine="720"/>
        <w:jc w:val="both"/>
      </w:pPr>
      <w:r>
        <w:rPr>
          <w:sz w:val="28"/>
          <w:szCs w:val="28"/>
          <w:lang w:val="ro-RO"/>
        </w:rPr>
        <w:t>În cazul înstrăinării, reducerea</w:t>
      </w:r>
      <w:r>
        <w:rPr>
          <w:sz w:val="28"/>
          <w:szCs w:val="28"/>
          <w:lang w:val="ro-RO"/>
        </w:rPr>
        <w:t xml:space="preserve"> de la plata impozitului nu se aplică noului proprietar.</w:t>
      </w:r>
    </w:p>
    <w:p w14:paraId="20DCA1F4" w14:textId="77777777" w:rsidR="00B0343E" w:rsidRDefault="00802046">
      <w:pPr>
        <w:pStyle w:val="Standard"/>
        <w:ind w:firstLine="720"/>
        <w:jc w:val="both"/>
      </w:pPr>
      <w:r>
        <w:rPr>
          <w:sz w:val="28"/>
          <w:szCs w:val="28"/>
          <w:lang w:val="ro-RO"/>
        </w:rPr>
        <w:t>În cazul coproprietarilor, reducerea la plată se acordă doar pentru cota - parte deţinută de proprietarul care are domiciliul la adresa imobilului pentru care se solicită facilitatea fiscală.</w:t>
      </w:r>
    </w:p>
    <w:p w14:paraId="4B3DD87E" w14:textId="77777777" w:rsidR="00B0343E" w:rsidRDefault="00802046">
      <w:pPr>
        <w:pStyle w:val="Standard"/>
        <w:ind w:firstLine="720"/>
        <w:jc w:val="both"/>
      </w:pPr>
      <w:r>
        <w:rPr>
          <w:sz w:val="28"/>
          <w:szCs w:val="28"/>
          <w:lang w:val="ro-RO"/>
        </w:rPr>
        <w:t>Reducer</w:t>
      </w:r>
      <w:r>
        <w:rPr>
          <w:sz w:val="28"/>
          <w:szCs w:val="28"/>
          <w:lang w:val="ro-RO"/>
        </w:rPr>
        <w:t>ea este aplicabilă contribuabililor cu sediul/domiciliul în municipiul Craiova, care utilizează imobile cu destinaţia de locuinţă şi numai pentru clădirea folosită ca domiciliu.</w:t>
      </w:r>
    </w:p>
    <w:p w14:paraId="1EA74539" w14:textId="77777777" w:rsidR="00B0343E" w:rsidRDefault="00802046">
      <w:pPr>
        <w:pStyle w:val="Standard"/>
        <w:ind w:firstLine="720"/>
        <w:jc w:val="both"/>
      </w:pPr>
      <w:r>
        <w:rPr>
          <w:sz w:val="28"/>
          <w:szCs w:val="28"/>
          <w:lang w:val="ro-RO"/>
        </w:rPr>
        <w:t>Beneficiarii facilităţii fiscale şi cuantumul acesteia pe fiecare contribuabil</w:t>
      </w:r>
      <w:r>
        <w:rPr>
          <w:sz w:val="28"/>
          <w:szCs w:val="28"/>
          <w:lang w:val="ro-RO"/>
        </w:rPr>
        <w:t xml:space="preserve"> se înscriu într-o anexă la hotărârea prin care se aprobă contul de încheiere a exerciţiului bugetar pentru anul respectiv.</w:t>
      </w:r>
    </w:p>
    <w:p w14:paraId="12176152" w14:textId="77777777" w:rsidR="00B0343E" w:rsidRDefault="00802046">
      <w:pPr>
        <w:pStyle w:val="Standard"/>
        <w:ind w:firstLine="720"/>
        <w:jc w:val="both"/>
      </w:pPr>
      <w:r>
        <w:rPr>
          <w:sz w:val="28"/>
          <w:szCs w:val="28"/>
          <w:lang w:val="ro-RO"/>
        </w:rPr>
        <w:br/>
      </w:r>
      <w:r>
        <w:rPr>
          <w:sz w:val="28"/>
          <w:szCs w:val="28"/>
          <w:lang w:val="ro-RO"/>
        </w:rPr>
        <w:br/>
      </w:r>
      <w:r>
        <w:rPr>
          <w:sz w:val="28"/>
          <w:szCs w:val="28"/>
          <w:lang w:val="ro-RO"/>
        </w:rPr>
        <w:t xml:space="preserve">           IV. În vederea acordării reducerii, contribuabilul trebuie să depună la Registratura Primăriei Municipiului Craiova, Di</w:t>
      </w:r>
      <w:r>
        <w:rPr>
          <w:sz w:val="28"/>
          <w:szCs w:val="28"/>
          <w:lang w:val="ro-RO"/>
        </w:rPr>
        <w:t>recţia Impozite și Taxe, următoarele documente justificative:</w:t>
      </w:r>
    </w:p>
    <w:p w14:paraId="25FD3073" w14:textId="77777777" w:rsidR="00B0343E" w:rsidRDefault="00802046">
      <w:pPr>
        <w:pStyle w:val="Standard"/>
        <w:jc w:val="both"/>
      </w:pPr>
      <w:r>
        <w:rPr>
          <w:sz w:val="28"/>
          <w:szCs w:val="28"/>
          <w:lang w:val="ro-RO"/>
        </w:rPr>
        <w:t>a) Cerere scrisă în vederea acordării reducerii;</w:t>
      </w:r>
    </w:p>
    <w:p w14:paraId="7D388550" w14:textId="77777777" w:rsidR="00B0343E" w:rsidRDefault="00802046">
      <w:pPr>
        <w:pStyle w:val="Standard"/>
        <w:jc w:val="both"/>
      </w:pPr>
      <w:r>
        <w:rPr>
          <w:sz w:val="28"/>
          <w:szCs w:val="28"/>
          <w:lang w:val="ro-RO"/>
        </w:rPr>
        <w:t>b) Copie buletin/carte identitate în cazul persoanelor fizice/copie certificat de înregistrare fiscală în cazul persoanelor juridice;</w:t>
      </w:r>
    </w:p>
    <w:p w14:paraId="7C5F5096" w14:textId="77777777" w:rsidR="00B0343E" w:rsidRDefault="00802046">
      <w:pPr>
        <w:pStyle w:val="Standard"/>
        <w:jc w:val="both"/>
      </w:pPr>
      <w:r>
        <w:rPr>
          <w:sz w:val="28"/>
          <w:szCs w:val="28"/>
          <w:lang w:val="ro-RO"/>
        </w:rPr>
        <w:t>c) Dovada p</w:t>
      </w:r>
      <w:r>
        <w:rPr>
          <w:sz w:val="28"/>
          <w:szCs w:val="28"/>
          <w:lang w:val="ro-RO"/>
        </w:rPr>
        <w:t>roprietăţii asupra clădirii cu destinaţie de locuinţă;</w:t>
      </w:r>
    </w:p>
    <w:p w14:paraId="6FA37483" w14:textId="77777777" w:rsidR="00B0343E" w:rsidRDefault="00802046">
      <w:pPr>
        <w:pStyle w:val="Standard"/>
        <w:jc w:val="both"/>
      </w:pPr>
      <w:r>
        <w:rPr>
          <w:sz w:val="28"/>
          <w:szCs w:val="28"/>
          <w:lang w:val="ro-RO"/>
        </w:rPr>
        <w:t>d) Fişa tehnică a blocului de locuinţe din care să rezulte că lucrările de intervenţie pentru izolarea termică au fost executate asupra blocurilor de locuinţe / cartea tehnică în cazul imobilelor tip l</w:t>
      </w:r>
      <w:r>
        <w:rPr>
          <w:sz w:val="28"/>
          <w:szCs w:val="28"/>
          <w:lang w:val="ro-RO"/>
        </w:rPr>
        <w:t>ocuinţă unifamilială;</w:t>
      </w:r>
    </w:p>
    <w:p w14:paraId="6CB9C6B0" w14:textId="77777777" w:rsidR="00B0343E" w:rsidRDefault="00802046">
      <w:pPr>
        <w:pStyle w:val="Standard"/>
        <w:jc w:val="both"/>
      </w:pPr>
      <w:r>
        <w:rPr>
          <w:sz w:val="28"/>
          <w:szCs w:val="28"/>
          <w:lang w:val="ro-RO"/>
        </w:rPr>
        <w:t>e)Hotărârea asociaţiei de proprietari, din care să rezulte că au fost aprobate lucrările de intervenţie care au fost executate;</w:t>
      </w:r>
    </w:p>
    <w:p w14:paraId="2E084CF1" w14:textId="77777777" w:rsidR="00B0343E" w:rsidRDefault="00802046">
      <w:pPr>
        <w:pStyle w:val="Standard"/>
        <w:jc w:val="both"/>
      </w:pPr>
      <w:r>
        <w:rPr>
          <w:sz w:val="28"/>
          <w:szCs w:val="28"/>
          <w:lang w:val="ro-RO"/>
        </w:rPr>
        <w:t>f) Extras de carte funciară nu mai vechi de 30 de zile; </w:t>
      </w:r>
    </w:p>
    <w:p w14:paraId="0F7C8EE6" w14:textId="77777777" w:rsidR="00B0343E" w:rsidRDefault="00802046">
      <w:pPr>
        <w:pStyle w:val="Standard"/>
        <w:jc w:val="both"/>
      </w:pPr>
      <w:r>
        <w:rPr>
          <w:sz w:val="28"/>
          <w:szCs w:val="28"/>
          <w:lang w:val="ro-RO"/>
        </w:rPr>
        <w:lastRenderedPageBreak/>
        <w:t>În cazul Asociaţiilor de proprietari, se va depun</w:t>
      </w:r>
      <w:r>
        <w:rPr>
          <w:sz w:val="28"/>
          <w:szCs w:val="28"/>
          <w:lang w:val="ro-RO"/>
        </w:rPr>
        <w:t>e extras de carte funciară în extenso, în copie, nu mai vechi de 30 de zile, tabel cu persoanele care fac parte din Asociaţia de proprietar, semnat şi ştampilat de către administratorul asociaţiei de proprietari.</w:t>
      </w:r>
    </w:p>
    <w:p w14:paraId="3882BCC3" w14:textId="77777777" w:rsidR="00B0343E" w:rsidRDefault="00802046">
      <w:pPr>
        <w:pStyle w:val="Standard"/>
        <w:jc w:val="both"/>
      </w:pPr>
      <w:r>
        <w:rPr>
          <w:sz w:val="28"/>
          <w:szCs w:val="28"/>
          <w:lang w:val="ro-RO"/>
        </w:rPr>
        <w:t>g) Documentele referitoare la starea iniţia</w:t>
      </w:r>
      <w:r>
        <w:rPr>
          <w:sz w:val="28"/>
          <w:szCs w:val="28"/>
          <w:lang w:val="ro-RO"/>
        </w:rPr>
        <w:t>lă a imobilului: certificatul de performanţă energetică şi/sau, după caz, raportul de audit energetic în care sunt prevazute măsurile de intervenţie pentru reabilitarea termică recomandate de auditorul energetic;</w:t>
      </w:r>
    </w:p>
    <w:p w14:paraId="0A9048F4" w14:textId="77777777" w:rsidR="00B0343E" w:rsidRDefault="00802046">
      <w:pPr>
        <w:pStyle w:val="Standard"/>
        <w:jc w:val="both"/>
      </w:pPr>
      <w:r>
        <w:rPr>
          <w:sz w:val="28"/>
          <w:szCs w:val="28"/>
          <w:lang w:val="ro-RO"/>
        </w:rPr>
        <w:t>h) Autorizaţia de construire pentru executa</w:t>
      </w:r>
      <w:r>
        <w:rPr>
          <w:sz w:val="28"/>
          <w:szCs w:val="28"/>
          <w:lang w:val="ro-RO"/>
        </w:rPr>
        <w:t>rea lucrărilor de intervenţie, emisă în condiţiile legii nr.50/1991 republicată şi actualizată; Pe cale de excepţie, autorizaţia de construire nu se va solicita/depune pentru clădirile cărora le sunt aplicabile prevederile art.11 alin.1 lit.h pct.3 din Leg</w:t>
      </w:r>
      <w:r>
        <w:rPr>
          <w:sz w:val="28"/>
          <w:szCs w:val="28"/>
          <w:lang w:val="ro-RO"/>
        </w:rPr>
        <w:t>ea nr.50/1991 privind autorizarea lucrărilor de construcţii, republicată, cu modificările şi completările ulterioare;</w:t>
      </w:r>
    </w:p>
    <w:p w14:paraId="5C4B7063" w14:textId="77777777" w:rsidR="00B0343E" w:rsidRDefault="00802046">
      <w:pPr>
        <w:pStyle w:val="Standard"/>
        <w:jc w:val="both"/>
      </w:pPr>
      <w:r>
        <w:rPr>
          <w:sz w:val="28"/>
          <w:szCs w:val="28"/>
          <w:lang w:val="ro-RO"/>
        </w:rPr>
        <w:t>i) Documentele referitoare la starea finală a imobilului: procesul-verbal de recepţie la terminarea lucrărilor, întocmit în condiţiile leg</w:t>
      </w:r>
      <w:r>
        <w:rPr>
          <w:sz w:val="28"/>
          <w:szCs w:val="28"/>
          <w:lang w:val="ro-RO"/>
        </w:rPr>
        <w:t>ii, prin care se constată realizarea măsurilor de intervenţie recomandate de către auditorul energetic în certificatul de performanţă energetică sau, după caz, în raportul de audit energetic; certificatul de performanţă energetică după realizarea lucrărilo</w:t>
      </w:r>
      <w:r>
        <w:rPr>
          <w:sz w:val="28"/>
          <w:szCs w:val="28"/>
          <w:lang w:val="ro-RO"/>
        </w:rPr>
        <w:t>r de intervenţie, cu evidenţierea consumului anual specific de energie calculat pentru încălzire;</w:t>
      </w:r>
    </w:p>
    <w:p w14:paraId="55236533" w14:textId="77777777" w:rsidR="00B0343E" w:rsidRDefault="00802046">
      <w:pPr>
        <w:pStyle w:val="Standard"/>
        <w:jc w:val="both"/>
      </w:pPr>
      <w:r>
        <w:rPr>
          <w:sz w:val="28"/>
          <w:szCs w:val="28"/>
          <w:lang w:val="ro-RO"/>
        </w:rPr>
        <w:t>j) Adeverinţa emisă de asociaţia de proprietari din care să rezulte valoarea totală a contravalorii lucrărilor, a cotei părţi indivize care se suportă de soli</w:t>
      </w:r>
      <w:r>
        <w:rPr>
          <w:sz w:val="28"/>
          <w:szCs w:val="28"/>
          <w:lang w:val="ro-RO"/>
        </w:rPr>
        <w:t>citantul facilităţii fiscale şi numărul şi data chitanţei cu care acesta a achitat integral contravaloarea cotei părţi indivize, precum şi suma achitată – pentru lucrările de intervenţie aferente;</w:t>
      </w:r>
    </w:p>
    <w:p w14:paraId="49EE2A32" w14:textId="77777777" w:rsidR="00B0343E" w:rsidRDefault="00802046">
      <w:pPr>
        <w:pStyle w:val="Standard"/>
        <w:jc w:val="both"/>
      </w:pPr>
      <w:r>
        <w:rPr>
          <w:sz w:val="28"/>
          <w:szCs w:val="28"/>
          <w:lang w:val="ro-RO"/>
        </w:rPr>
        <w:t>k) Contract încheiat cu firme/persoane fizice autorizate;</w:t>
      </w:r>
    </w:p>
    <w:p w14:paraId="50D5A3BE" w14:textId="77777777" w:rsidR="00B0343E" w:rsidRDefault="00802046">
      <w:pPr>
        <w:pStyle w:val="Standard"/>
        <w:jc w:val="both"/>
      </w:pPr>
      <w:r>
        <w:rPr>
          <w:sz w:val="28"/>
          <w:szCs w:val="28"/>
          <w:lang w:val="ro-RO"/>
        </w:rPr>
        <w:t>l) Dovada efectuării lucrărilor pe cheltuiala proprie (copie facturi, chitanţe fiscale).</w:t>
      </w:r>
    </w:p>
    <w:p w14:paraId="2EF79939" w14:textId="77777777" w:rsidR="00B0343E" w:rsidRDefault="00802046">
      <w:pPr>
        <w:pStyle w:val="Standard"/>
        <w:jc w:val="both"/>
      </w:pPr>
      <w:r>
        <w:rPr>
          <w:sz w:val="28"/>
          <w:szCs w:val="28"/>
          <w:lang w:val="ro-RO"/>
        </w:rPr>
        <w:br/>
      </w:r>
      <w:r>
        <w:rPr>
          <w:sz w:val="28"/>
          <w:szCs w:val="28"/>
          <w:lang w:val="ro-RO"/>
        </w:rPr>
        <w:t xml:space="preserve">          Proprietarii apartamentelor din acelaşi bloc de locuinţe vor prezenta documentaţiile tehnice într-un singur exemplar.</w:t>
      </w:r>
    </w:p>
    <w:p w14:paraId="6BBDFA71" w14:textId="77777777" w:rsidR="00B0343E" w:rsidRDefault="00802046">
      <w:pPr>
        <w:pStyle w:val="Standard"/>
        <w:jc w:val="both"/>
      </w:pPr>
      <w:r>
        <w:rPr>
          <w:sz w:val="28"/>
          <w:szCs w:val="28"/>
          <w:lang w:val="ro-RO"/>
        </w:rPr>
        <w:br/>
      </w:r>
      <w:r>
        <w:rPr>
          <w:sz w:val="28"/>
          <w:szCs w:val="28"/>
          <w:lang w:val="ro-RO"/>
        </w:rPr>
        <w:t xml:space="preserve">         IV. Reducerea se acordă conf</w:t>
      </w:r>
      <w:r>
        <w:rPr>
          <w:sz w:val="28"/>
          <w:szCs w:val="28"/>
          <w:lang w:val="ro-RO"/>
        </w:rPr>
        <w:t>orm art. 456, alin.2 lit. m din Legea nr.227/2015 privind Codul fiscal, cu modificările şi completările ulterioare, pe baza referatului avizat favorabil de către Arhitectul şef şi aprobat de primarul Municipiului Craiova, emitându-se o nouă decizie de impu</w:t>
      </w:r>
      <w:r>
        <w:rPr>
          <w:sz w:val="28"/>
          <w:szCs w:val="28"/>
          <w:lang w:val="ro-RO"/>
        </w:rPr>
        <w:t>nere în care să fie cuprinsă reducerea acordată.</w:t>
      </w:r>
    </w:p>
    <w:p w14:paraId="723DBFFA" w14:textId="77777777" w:rsidR="00B0343E" w:rsidRDefault="00802046">
      <w:pPr>
        <w:pStyle w:val="Standard"/>
        <w:jc w:val="both"/>
      </w:pPr>
      <w:r>
        <w:rPr>
          <w:sz w:val="28"/>
          <w:szCs w:val="28"/>
          <w:lang w:val="ro-RO"/>
        </w:rPr>
        <w:tab/>
        <w:t>Contestaţiile împotriva actelor administrative emise pentru soluţionarea cererilor contribuabililor se soluţionează conform dispoziţiilor Legii nr.207/2015 privind Codul de procedură fiscală.</w:t>
      </w:r>
    </w:p>
    <w:p w14:paraId="45FACEA2" w14:textId="77777777" w:rsidR="00B0343E" w:rsidRDefault="00B0343E">
      <w:pPr>
        <w:pStyle w:val="Standard"/>
      </w:pPr>
    </w:p>
    <w:sectPr w:rsidR="00B0343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3F47" w14:textId="77777777" w:rsidR="00802046" w:rsidRDefault="00802046">
      <w:r>
        <w:separator/>
      </w:r>
    </w:p>
  </w:endnote>
  <w:endnote w:type="continuationSeparator" w:id="0">
    <w:p w14:paraId="5BD7E806" w14:textId="77777777" w:rsidR="00802046" w:rsidRDefault="0080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8121" w14:textId="77777777" w:rsidR="00802046" w:rsidRDefault="00802046">
      <w:r>
        <w:rPr>
          <w:color w:val="000000"/>
        </w:rPr>
        <w:separator/>
      </w:r>
    </w:p>
  </w:footnote>
  <w:footnote w:type="continuationSeparator" w:id="0">
    <w:p w14:paraId="10C12579" w14:textId="77777777" w:rsidR="00802046" w:rsidRDefault="0080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249D"/>
    <w:multiLevelType w:val="multilevel"/>
    <w:tmpl w:val="A21ED9C2"/>
    <w:styleLink w:val="WWNum1"/>
    <w:lvl w:ilvl="0">
      <w:numFmt w:val="bullet"/>
      <w:lvlText w:val="-"/>
      <w:lvlJc w:val="left"/>
      <w:pPr>
        <w:ind w:left="675" w:hanging="360"/>
      </w:pPr>
      <w:rPr>
        <w:rFonts w:ascii="Garamond" w:eastAsia="Times New Roman" w:hAnsi="Garamond"/>
      </w:rPr>
    </w:lvl>
    <w:lvl w:ilvl="1">
      <w:numFmt w:val="bullet"/>
      <w:lvlText w:val="o"/>
      <w:lvlJc w:val="left"/>
      <w:pPr>
        <w:ind w:left="1395" w:hanging="360"/>
      </w:pPr>
      <w:rPr>
        <w:rFonts w:ascii="Courier New" w:hAnsi="Courier New"/>
      </w:rPr>
    </w:lvl>
    <w:lvl w:ilvl="2">
      <w:numFmt w:val="bullet"/>
      <w:lvlText w:val=""/>
      <w:lvlJc w:val="left"/>
      <w:pPr>
        <w:ind w:left="2115" w:hanging="360"/>
      </w:pPr>
      <w:rPr>
        <w:rFonts w:ascii="Wingdings" w:hAnsi="Wingdings"/>
      </w:rPr>
    </w:lvl>
    <w:lvl w:ilvl="3">
      <w:numFmt w:val="bullet"/>
      <w:lvlText w:val=""/>
      <w:lvlJc w:val="left"/>
      <w:pPr>
        <w:ind w:left="2835" w:hanging="360"/>
      </w:pPr>
      <w:rPr>
        <w:rFonts w:ascii="Symbol" w:hAnsi="Symbol"/>
      </w:rPr>
    </w:lvl>
    <w:lvl w:ilvl="4">
      <w:numFmt w:val="bullet"/>
      <w:lvlText w:val="o"/>
      <w:lvlJc w:val="left"/>
      <w:pPr>
        <w:ind w:left="3555" w:hanging="360"/>
      </w:pPr>
      <w:rPr>
        <w:rFonts w:ascii="Courier New" w:hAnsi="Courier New"/>
      </w:rPr>
    </w:lvl>
    <w:lvl w:ilvl="5">
      <w:numFmt w:val="bullet"/>
      <w:lvlText w:val=""/>
      <w:lvlJc w:val="left"/>
      <w:pPr>
        <w:ind w:left="4275" w:hanging="360"/>
      </w:pPr>
      <w:rPr>
        <w:rFonts w:ascii="Wingdings" w:hAnsi="Wingdings"/>
      </w:rPr>
    </w:lvl>
    <w:lvl w:ilvl="6">
      <w:numFmt w:val="bullet"/>
      <w:lvlText w:val=""/>
      <w:lvlJc w:val="left"/>
      <w:pPr>
        <w:ind w:left="4995" w:hanging="360"/>
      </w:pPr>
      <w:rPr>
        <w:rFonts w:ascii="Symbol" w:hAnsi="Symbol"/>
      </w:rPr>
    </w:lvl>
    <w:lvl w:ilvl="7">
      <w:numFmt w:val="bullet"/>
      <w:lvlText w:val="o"/>
      <w:lvlJc w:val="left"/>
      <w:pPr>
        <w:ind w:left="5715" w:hanging="360"/>
      </w:pPr>
      <w:rPr>
        <w:rFonts w:ascii="Courier New" w:hAnsi="Courier New"/>
      </w:rPr>
    </w:lvl>
    <w:lvl w:ilvl="8">
      <w:numFmt w:val="bullet"/>
      <w:lvlText w:val=""/>
      <w:lvlJc w:val="left"/>
      <w:pPr>
        <w:ind w:left="6435" w:hanging="360"/>
      </w:pPr>
      <w:rPr>
        <w:rFonts w:ascii="Wingdings" w:hAnsi="Wingdings"/>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0343E"/>
    <w:rsid w:val="00802046"/>
    <w:rsid w:val="00B0343E"/>
    <w:rsid w:val="00E23AA1"/>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58E0"/>
  <w15:docId w15:val="{2737104B-B6A0-4BC4-B3C0-8D39203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suppressAutoHyphens/>
        <w:autoSpaceDN w:val="0"/>
        <w:ind w:left="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ind w:left="0"/>
      <w:jc w:val="left"/>
    </w:pPr>
    <w:rPr>
      <w:rFonts w:ascii="Times New Roman" w:eastAsia="Times New Roman" w:hAnsi="Times New Roman" w:cs="Times New Roman"/>
      <w:sz w:val="20"/>
      <w:szCs w:val="20"/>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ListLabel1">
    <w:name w:val="ListLabel 1"/>
    <w:rPr>
      <w:rFonts w:eastAsia="Times New Roman"/>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emilg</dc:creator>
  <cp:lastModifiedBy>Vlad-Andrei Gruia</cp:lastModifiedBy>
  <cp:revision>2</cp:revision>
  <cp:lastPrinted>2015-10-05T21:08:00Z</cp:lastPrinted>
  <dcterms:created xsi:type="dcterms:W3CDTF">2021-09-20T13:04:00Z</dcterms:created>
  <dcterms:modified xsi:type="dcterms:W3CDTF">2021-09-20T13:04:00Z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