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9146" w14:textId="77777777" w:rsidR="00B453D0" w:rsidRDefault="008962F5">
      <w:pPr>
        <w:pStyle w:val="Standard"/>
        <w:ind w:left="993" w:hanging="993"/>
        <w:jc w:val="right"/>
      </w:pPr>
      <w:r>
        <w:rPr>
          <w:b/>
          <w:bCs/>
          <w:sz w:val="28"/>
          <w:szCs w:val="28"/>
          <w:lang w:val="ro-RO"/>
        </w:rPr>
        <w:t>Anexa nr.3 la HCL___</w:t>
      </w:r>
    </w:p>
    <w:p w14:paraId="38C815A7" w14:textId="77777777" w:rsidR="00B453D0" w:rsidRDefault="008962F5">
      <w:pPr>
        <w:pStyle w:val="Standard"/>
        <w:ind w:left="993" w:hanging="993"/>
        <w:jc w:val="both"/>
      </w:pPr>
      <w:r>
        <w:rPr>
          <w:b/>
          <w:bCs/>
          <w:sz w:val="28"/>
          <w:szCs w:val="28"/>
          <w:lang w:val="ro-RO"/>
        </w:rPr>
        <w:t>_Taxe speciale</w:t>
      </w:r>
    </w:p>
    <w:tbl>
      <w:tblPr>
        <w:tblW w:w="1447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6"/>
        <w:gridCol w:w="10926"/>
        <w:gridCol w:w="2637"/>
      </w:tblGrid>
      <w:tr w:rsidR="00B453D0" w14:paraId="1D8CCB95" w14:textId="77777777">
        <w:tblPrEx>
          <w:tblCellMar>
            <w:top w:w="0" w:type="dxa"/>
            <w:bottom w:w="0" w:type="dxa"/>
          </w:tblCellMar>
        </w:tblPrEx>
        <w:trPr>
          <w:trHeight w:val="1880"/>
        </w:trPr>
        <w:tc>
          <w:tcPr>
            <w:tcW w:w="9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37ECF" w14:textId="77777777" w:rsidR="00B453D0" w:rsidRDefault="008962F5">
            <w:pPr>
              <w:pStyle w:val="Standard"/>
              <w:jc w:val="center"/>
            </w:pPr>
            <w:r>
              <w:rPr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09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AE8F" w14:textId="77777777" w:rsidR="00B453D0" w:rsidRDefault="008962F5">
            <w:pPr>
              <w:pStyle w:val="Standard"/>
              <w:ind w:hanging="18"/>
              <w:jc w:val="center"/>
            </w:pPr>
            <w:r>
              <w:rPr>
                <w:b/>
                <w:bCs/>
                <w:sz w:val="28"/>
                <w:szCs w:val="28"/>
                <w:lang w:val="ro-RO"/>
              </w:rPr>
              <w:t>Denumirea şi cuantumul taxei</w:t>
            </w:r>
          </w:p>
        </w:tc>
        <w:tc>
          <w:tcPr>
            <w:tcW w:w="26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5207" w14:textId="77777777" w:rsidR="00B453D0" w:rsidRDefault="008962F5">
            <w:pPr>
              <w:pStyle w:val="Standard"/>
              <w:ind w:hanging="18"/>
              <w:jc w:val="center"/>
            </w:pPr>
            <w:r>
              <w:rPr>
                <w:b/>
                <w:bCs/>
                <w:sz w:val="28"/>
                <w:szCs w:val="28"/>
                <w:lang w:val="ro-RO"/>
              </w:rPr>
              <w:t>Direcţia/Serviciul care o adminstrează</w:t>
            </w:r>
          </w:p>
        </w:tc>
      </w:tr>
      <w:tr w:rsidR="00B453D0" w14:paraId="4F6A0A07" w14:textId="77777777">
        <w:tblPrEx>
          <w:tblCellMar>
            <w:top w:w="0" w:type="dxa"/>
            <w:bottom w:w="0" w:type="dxa"/>
          </w:tblCellMar>
        </w:tblPrEx>
        <w:trPr>
          <w:trHeight w:val="1880"/>
        </w:trPr>
        <w:tc>
          <w:tcPr>
            <w:tcW w:w="9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AE254" w14:textId="77777777" w:rsidR="00B453D0" w:rsidRDefault="008962F5">
            <w:pPr>
              <w:pStyle w:val="ListParagraph"/>
              <w:ind w:left="0"/>
              <w:jc w:val="center"/>
            </w:pPr>
            <w:r>
              <w:rPr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10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98A21" w14:textId="77777777" w:rsidR="00B453D0" w:rsidRDefault="008962F5">
            <w:pPr>
              <w:pStyle w:val="Textbody"/>
            </w:pPr>
            <w:r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sz w:val="28"/>
                <w:szCs w:val="28"/>
                <w:lang w:val="ro-RO"/>
              </w:rPr>
              <w:t>(1)</w:t>
            </w:r>
            <w:r>
              <w:rPr>
                <w:sz w:val="28"/>
                <w:szCs w:val="28"/>
                <w:lang w:val="ro-RO"/>
              </w:rPr>
              <w:t xml:space="preserve"> Taxă pentru eliberarea autorizaţiilor de liber acces pentru autovehiculele cu greutate mai mare de 3,5 tone, în perimetrul „A” şi „B” ale municipiului Craiova, se stabileste la urmatoarele niveluri:</w:t>
            </w:r>
          </w:p>
          <w:tbl>
            <w:tblPr>
              <w:tblW w:w="1088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16"/>
              <w:gridCol w:w="5326"/>
              <w:gridCol w:w="1144"/>
            </w:tblGrid>
            <w:tr w:rsidR="00B453D0" w14:paraId="1F3C19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026"/>
              </w:trPr>
              <w:tc>
                <w:tcPr>
                  <w:tcW w:w="44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B4F71D" w14:textId="77777777" w:rsidR="00B453D0" w:rsidRDefault="008962F5">
                  <w:pPr>
                    <w:pStyle w:val="Textbody"/>
                    <w:ind w:hanging="18"/>
                    <w:jc w:val="center"/>
                  </w:pPr>
                  <w:r>
                    <w:rPr>
                      <w:sz w:val="28"/>
                      <w:szCs w:val="28"/>
                      <w:lang w:val="ro-RO"/>
                    </w:rPr>
                    <w:t>Perimetrul</w:t>
                  </w:r>
                </w:p>
              </w:tc>
              <w:tc>
                <w:tcPr>
                  <w:tcW w:w="53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791FA7" w14:textId="77777777" w:rsidR="00B453D0" w:rsidRDefault="008962F5">
                  <w:pPr>
                    <w:pStyle w:val="Textbody"/>
                    <w:ind w:hanging="18"/>
                    <w:jc w:val="center"/>
                  </w:pPr>
                  <w:r>
                    <w:rPr>
                      <w:sz w:val="28"/>
                      <w:szCs w:val="28"/>
                      <w:lang w:val="ro-RO"/>
                    </w:rPr>
                    <w:t>Specificaţie</w:t>
                  </w:r>
                </w:p>
              </w:tc>
              <w:tc>
                <w:tcPr>
                  <w:tcW w:w="11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C016EA" w14:textId="77777777" w:rsidR="00B453D0" w:rsidRDefault="008962F5">
                  <w:pPr>
                    <w:pStyle w:val="Textbody"/>
                    <w:ind w:hanging="18"/>
                    <w:jc w:val="center"/>
                  </w:pPr>
                  <w:r>
                    <w:rPr>
                      <w:sz w:val="28"/>
                      <w:szCs w:val="28"/>
                      <w:lang w:val="ro-RO"/>
                    </w:rPr>
                    <w:t>Lei/ zi/ vehicul</w:t>
                  </w:r>
                </w:p>
              </w:tc>
            </w:tr>
            <w:tr w:rsidR="00B453D0" w14:paraId="4CA094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520"/>
              </w:trPr>
              <w:tc>
                <w:tcPr>
                  <w:tcW w:w="44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AFEA76" w14:textId="77777777" w:rsidR="00B453D0" w:rsidRDefault="008962F5">
                  <w:pPr>
                    <w:pStyle w:val="Textbody"/>
                    <w:ind w:hanging="18"/>
                  </w:pPr>
                  <w:r>
                    <w:rPr>
                      <w:b/>
                      <w:bCs/>
                      <w:sz w:val="28"/>
                      <w:szCs w:val="28"/>
                      <w:lang w:val="ro-RO"/>
                    </w:rPr>
                    <w:t>Perimetrul „A”:</w:t>
                  </w:r>
                </w:p>
                <w:p w14:paraId="7AC29AD0" w14:textId="77777777" w:rsidR="00B453D0" w:rsidRDefault="008962F5">
                  <w:pPr>
                    <w:pStyle w:val="Textbody"/>
                    <w:ind w:hanging="18"/>
                  </w:pPr>
                  <w:r>
                    <w:rPr>
                      <w:sz w:val="28"/>
                      <w:szCs w:val="28"/>
                      <w:lang w:val="ro-RO"/>
                    </w:rPr>
                    <w:t>Bd. Dacia – Bd. Decebal – Str. Caracal –Str. Corneliu Coposu – Bd. 1 Mai – Bd. Stirbei Voda – Str.  Brestei – Str. Pelendava, din care se excepteaza perimetrul interior B</w:t>
                  </w:r>
                </w:p>
              </w:tc>
              <w:tc>
                <w:tcPr>
                  <w:tcW w:w="53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BA17A0" w14:textId="77777777" w:rsidR="00B453D0" w:rsidRDefault="008962F5">
                  <w:pPr>
                    <w:pStyle w:val="Textbody"/>
                    <w:ind w:hanging="18"/>
                    <w:jc w:val="center"/>
                  </w:pPr>
                  <w:r>
                    <w:rPr>
                      <w:sz w:val="28"/>
                      <w:szCs w:val="28"/>
                      <w:lang w:val="ro-RO"/>
                    </w:rPr>
                    <w:t>Pentru transportarea unor marfuri perisabile (carne, peste, produse l</w:t>
                  </w:r>
                  <w:r>
                    <w:rPr>
                      <w:sz w:val="28"/>
                      <w:szCs w:val="28"/>
                      <w:lang w:val="ro-RO"/>
                    </w:rPr>
                    <w:t>actate, vin, etc.) si materiale de constructii</w:t>
                  </w:r>
                </w:p>
              </w:tc>
              <w:tc>
                <w:tcPr>
                  <w:tcW w:w="11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29048D" w14:textId="77777777" w:rsidR="00B453D0" w:rsidRDefault="008962F5">
                  <w:pPr>
                    <w:pStyle w:val="Textbody"/>
                    <w:ind w:hanging="18"/>
                    <w:jc w:val="center"/>
                  </w:pPr>
                  <w:r>
                    <w:rPr>
                      <w:sz w:val="28"/>
                      <w:szCs w:val="28"/>
                      <w:lang w:val="ro-RO"/>
                    </w:rPr>
                    <w:t>12</w:t>
                  </w:r>
                </w:p>
              </w:tc>
            </w:tr>
            <w:tr w:rsidR="00B453D0" w14:paraId="1EC3E6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56"/>
              </w:trPr>
              <w:tc>
                <w:tcPr>
                  <w:tcW w:w="441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71A9B1" w14:textId="77777777" w:rsidR="00B453D0" w:rsidRDefault="00B453D0">
                  <w:pPr>
                    <w:pStyle w:val="Textbody"/>
                    <w:ind w:hanging="18"/>
                    <w:rPr>
                      <w:b/>
                      <w:bCs/>
                      <w:sz w:val="28"/>
                      <w:szCs w:val="28"/>
                      <w:lang w:val="ro-RO"/>
                    </w:rPr>
                  </w:pPr>
                </w:p>
              </w:tc>
              <w:tc>
                <w:tcPr>
                  <w:tcW w:w="53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87CBA8" w14:textId="77777777" w:rsidR="00B453D0" w:rsidRDefault="008962F5">
                  <w:pPr>
                    <w:pStyle w:val="Textbody"/>
                    <w:ind w:hanging="18"/>
                    <w:jc w:val="center"/>
                  </w:pPr>
                  <w:r>
                    <w:rPr>
                      <w:sz w:val="28"/>
                      <w:szCs w:val="28"/>
                      <w:lang w:val="ro-RO"/>
                    </w:rPr>
                    <w:t>Pentru transportarea altor tipuri de mărfuri</w:t>
                  </w:r>
                </w:p>
              </w:tc>
              <w:tc>
                <w:tcPr>
                  <w:tcW w:w="11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9CDC7F" w14:textId="77777777" w:rsidR="00B453D0" w:rsidRDefault="008962F5">
                  <w:pPr>
                    <w:pStyle w:val="Textbody"/>
                    <w:ind w:hanging="18"/>
                    <w:jc w:val="center"/>
                  </w:pPr>
                  <w:r>
                    <w:rPr>
                      <w:sz w:val="28"/>
                      <w:szCs w:val="28"/>
                      <w:lang w:val="ro-RO"/>
                    </w:rPr>
                    <w:t>24</w:t>
                  </w:r>
                </w:p>
              </w:tc>
            </w:tr>
            <w:tr w:rsidR="00B453D0" w14:paraId="71A37C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263"/>
              </w:trPr>
              <w:tc>
                <w:tcPr>
                  <w:tcW w:w="4416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7656D0" w14:textId="77777777" w:rsidR="00B453D0" w:rsidRDefault="008962F5">
                  <w:pPr>
                    <w:pStyle w:val="Textbody"/>
                    <w:ind w:hanging="18"/>
                  </w:pPr>
                  <w:r>
                    <w:rPr>
                      <w:b/>
                      <w:bCs/>
                      <w:sz w:val="28"/>
                      <w:szCs w:val="28"/>
                      <w:lang w:val="ro-RO"/>
                    </w:rPr>
                    <w:t>Perimetrul „B”:</w:t>
                  </w:r>
                </w:p>
                <w:p w14:paraId="42ED5815" w14:textId="77777777" w:rsidR="00B453D0" w:rsidRDefault="008962F5">
                  <w:pPr>
                    <w:pStyle w:val="Textbody"/>
                    <w:ind w:hanging="18"/>
                  </w:pPr>
                  <w:r>
                    <w:rPr>
                      <w:sz w:val="28"/>
                      <w:szCs w:val="28"/>
                      <w:lang w:val="ro-RO"/>
                    </w:rPr>
                    <w:t xml:space="preserve">Calea Bucuresti – Bd. Carol I – str. Aries –str. M.Kogalniceanu – str. Sf. Dumitru – str. Felix Aderca – str. Madona Dudu – str. Ion </w:t>
                  </w:r>
                  <w:r>
                    <w:rPr>
                      <w:sz w:val="28"/>
                      <w:szCs w:val="28"/>
                      <w:lang w:val="ro-RO"/>
                    </w:rPr>
                    <w:t>Maiorescu – str. Mihai Miteazu – str. Unirii</w:t>
                  </w:r>
                </w:p>
              </w:tc>
              <w:tc>
                <w:tcPr>
                  <w:tcW w:w="53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58F466" w14:textId="77777777" w:rsidR="00B453D0" w:rsidRDefault="008962F5">
                  <w:pPr>
                    <w:pStyle w:val="Textbody"/>
                    <w:ind w:hanging="18"/>
                    <w:jc w:val="center"/>
                  </w:pPr>
                  <w:r>
                    <w:rPr>
                      <w:sz w:val="28"/>
                      <w:szCs w:val="28"/>
                      <w:lang w:val="ro-RO"/>
                    </w:rPr>
                    <w:t>Pentru transportarea unor marfuri perisabile (carne, peste, produse lactate, vin, etc.) si materiale de constructii</w:t>
                  </w:r>
                </w:p>
              </w:tc>
              <w:tc>
                <w:tcPr>
                  <w:tcW w:w="11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A4AD92" w14:textId="77777777" w:rsidR="00B453D0" w:rsidRDefault="008962F5">
                  <w:pPr>
                    <w:pStyle w:val="Textbody"/>
                    <w:ind w:hanging="18"/>
                    <w:jc w:val="center"/>
                  </w:pPr>
                  <w:r>
                    <w:rPr>
                      <w:sz w:val="28"/>
                      <w:szCs w:val="28"/>
                      <w:lang w:val="ro-RO"/>
                    </w:rPr>
                    <w:t>15</w:t>
                  </w:r>
                </w:p>
              </w:tc>
            </w:tr>
            <w:tr w:rsidR="00B453D0" w14:paraId="1CE056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833"/>
              </w:trPr>
              <w:tc>
                <w:tcPr>
                  <w:tcW w:w="4416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EEF8A2" w14:textId="77777777" w:rsidR="00000000" w:rsidRDefault="008962F5"/>
              </w:tc>
              <w:tc>
                <w:tcPr>
                  <w:tcW w:w="53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C5219E" w14:textId="77777777" w:rsidR="00B453D0" w:rsidRDefault="008962F5">
                  <w:pPr>
                    <w:pStyle w:val="Textbody"/>
                    <w:ind w:hanging="18"/>
                    <w:jc w:val="center"/>
                  </w:pPr>
                  <w:r>
                    <w:rPr>
                      <w:sz w:val="28"/>
                      <w:szCs w:val="28"/>
                      <w:lang w:val="ro-RO"/>
                    </w:rPr>
                    <w:t>Pentru transportarea altor tipuri de mărfuri</w:t>
                  </w:r>
                </w:p>
              </w:tc>
              <w:tc>
                <w:tcPr>
                  <w:tcW w:w="11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A757CE" w14:textId="77777777" w:rsidR="00B453D0" w:rsidRDefault="008962F5">
                  <w:pPr>
                    <w:pStyle w:val="Textbody"/>
                    <w:ind w:hanging="18"/>
                    <w:jc w:val="center"/>
                  </w:pPr>
                  <w:r>
                    <w:rPr>
                      <w:sz w:val="28"/>
                      <w:szCs w:val="28"/>
                      <w:lang w:val="ro-RO"/>
                    </w:rPr>
                    <w:t>30</w:t>
                  </w:r>
                </w:p>
              </w:tc>
            </w:tr>
          </w:tbl>
          <w:p w14:paraId="6564209A" w14:textId="77777777" w:rsidR="00B453D0" w:rsidRDefault="008962F5">
            <w:pPr>
              <w:pStyle w:val="Textbody"/>
              <w:spacing w:after="0"/>
              <w:ind w:left="14" w:hanging="14"/>
            </w:pPr>
            <w:r>
              <w:rPr>
                <w:b/>
                <w:sz w:val="28"/>
                <w:szCs w:val="28"/>
                <w:lang w:val="ro-RO"/>
              </w:rPr>
              <w:t>(2)</w:t>
            </w:r>
            <w:r>
              <w:rPr>
                <w:sz w:val="28"/>
                <w:szCs w:val="28"/>
                <w:lang w:val="ro-RO"/>
              </w:rPr>
              <w:t xml:space="preserve"> Se exceptează de la plata acestei taxe, următoarele categorii de autovehicule:</w:t>
            </w:r>
          </w:p>
          <w:p w14:paraId="4D43B08D" w14:textId="77777777" w:rsidR="00B453D0" w:rsidRDefault="008962F5">
            <w:pPr>
              <w:pStyle w:val="Textbody"/>
              <w:spacing w:after="0"/>
              <w:ind w:left="14" w:hanging="14"/>
            </w:pPr>
            <w:r>
              <w:rPr>
                <w:sz w:val="28"/>
                <w:szCs w:val="28"/>
                <w:lang w:val="ro-RO"/>
              </w:rPr>
              <w:t>-  autovehicule aparţinând instituţiilor publice din municipiul Craiova;</w:t>
            </w:r>
          </w:p>
          <w:p w14:paraId="38D8EDAF" w14:textId="77777777" w:rsidR="00B453D0" w:rsidRDefault="008962F5">
            <w:pPr>
              <w:pStyle w:val="Textbody"/>
              <w:spacing w:after="0"/>
              <w:ind w:left="14" w:hanging="14"/>
            </w:pPr>
            <w:r>
              <w:rPr>
                <w:sz w:val="28"/>
                <w:szCs w:val="28"/>
                <w:lang w:val="ro-RO"/>
              </w:rPr>
              <w:t>- autovehicule destinate intervenţiilor de orice fel la agenţii economici şi instituţiile publice;</w:t>
            </w:r>
          </w:p>
          <w:p w14:paraId="752331F4" w14:textId="77777777" w:rsidR="00B453D0" w:rsidRDefault="008962F5">
            <w:pPr>
              <w:pStyle w:val="Textbody"/>
              <w:spacing w:after="0"/>
              <w:ind w:left="14" w:hanging="14"/>
            </w:pPr>
            <w:r>
              <w:rPr>
                <w:sz w:val="28"/>
                <w:szCs w:val="28"/>
                <w:lang w:val="ro-RO"/>
              </w:rPr>
              <w:lastRenderedPageBreak/>
              <w:t>- au</w:t>
            </w:r>
            <w:r>
              <w:rPr>
                <w:sz w:val="28"/>
                <w:szCs w:val="28"/>
                <w:lang w:val="ro-RO"/>
              </w:rPr>
              <w:t>tovehicule aparţinând unităţilor militare, salvării, unităţilor de pompieri, unităţilor de jandarmi, penitenciarelor;</w:t>
            </w:r>
          </w:p>
          <w:p w14:paraId="6240669C" w14:textId="77777777" w:rsidR="00B453D0" w:rsidRDefault="008962F5">
            <w:pPr>
              <w:pStyle w:val="Textbody"/>
              <w:spacing w:after="0"/>
              <w:ind w:left="14" w:hanging="14"/>
            </w:pPr>
            <w:r>
              <w:rPr>
                <w:sz w:val="28"/>
                <w:szCs w:val="28"/>
                <w:lang w:val="ro-RO"/>
              </w:rPr>
              <w:t>- autovehiculele folosite în scopul salubrizării;</w:t>
            </w:r>
          </w:p>
          <w:p w14:paraId="5BAD4A02" w14:textId="77777777" w:rsidR="00B453D0" w:rsidRDefault="008962F5">
            <w:pPr>
              <w:pStyle w:val="Textbody"/>
              <w:spacing w:after="0"/>
              <w:ind w:left="14" w:hanging="14"/>
            </w:pPr>
            <w:r>
              <w:rPr>
                <w:sz w:val="28"/>
                <w:szCs w:val="28"/>
                <w:lang w:val="ro-RO"/>
              </w:rPr>
              <w:t>- autovehiculele folosite pentru aprovizionarea populaţiei cu butelii de aragaz;</w:t>
            </w:r>
          </w:p>
          <w:p w14:paraId="21FD18AD" w14:textId="77777777" w:rsidR="00B453D0" w:rsidRDefault="008962F5">
            <w:pPr>
              <w:pStyle w:val="Textbody"/>
              <w:spacing w:after="0"/>
              <w:ind w:left="14" w:hanging="14"/>
            </w:pPr>
            <w:r>
              <w:rPr>
                <w:sz w:val="28"/>
                <w:szCs w:val="28"/>
                <w:lang w:val="ro-RO"/>
              </w:rPr>
              <w:t>- autov</w:t>
            </w:r>
            <w:r>
              <w:rPr>
                <w:sz w:val="28"/>
                <w:szCs w:val="28"/>
                <w:lang w:val="ro-RO"/>
              </w:rPr>
              <w:t>ehiculele destinate transportului angajaţilor la locul de muncă şi de la locul de muncă;</w:t>
            </w:r>
          </w:p>
          <w:p w14:paraId="05A8788C" w14:textId="77777777" w:rsidR="00B453D0" w:rsidRDefault="008962F5">
            <w:pPr>
              <w:pStyle w:val="Textbody"/>
              <w:spacing w:after="0"/>
              <w:ind w:left="14" w:hanging="14"/>
            </w:pPr>
            <w:r>
              <w:rPr>
                <w:sz w:val="28"/>
                <w:szCs w:val="28"/>
                <w:lang w:val="ro-RO"/>
              </w:rPr>
              <w:t>- autovehiculele ce efectuează colectarea deşeurilor (de hârtie, de provenienţă animală etc.) şi transporturi funerare.</w:t>
            </w:r>
          </w:p>
        </w:tc>
        <w:tc>
          <w:tcPr>
            <w:tcW w:w="2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54237" w14:textId="77777777" w:rsidR="00B453D0" w:rsidRDefault="008962F5">
            <w:pPr>
              <w:pStyle w:val="Standard"/>
              <w:ind w:hanging="18"/>
            </w:pPr>
            <w:r>
              <w:rPr>
                <w:bCs/>
                <w:sz w:val="28"/>
                <w:szCs w:val="28"/>
                <w:lang w:val="ro-RO"/>
              </w:rPr>
              <w:lastRenderedPageBreak/>
              <w:t>Direcţia Servicii Publice</w:t>
            </w:r>
          </w:p>
        </w:tc>
      </w:tr>
      <w:tr w:rsidR="00B453D0" w14:paraId="4500DAC5" w14:textId="77777777">
        <w:tblPrEx>
          <w:tblCellMar>
            <w:top w:w="0" w:type="dxa"/>
            <w:bottom w:w="0" w:type="dxa"/>
          </w:tblCellMar>
        </w:tblPrEx>
        <w:trPr>
          <w:trHeight w:val="1880"/>
        </w:trPr>
        <w:tc>
          <w:tcPr>
            <w:tcW w:w="9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F8469" w14:textId="77777777" w:rsidR="00B453D0" w:rsidRDefault="008962F5">
            <w:pPr>
              <w:pStyle w:val="ListParagraph"/>
              <w:ind w:left="0"/>
              <w:jc w:val="center"/>
            </w:pPr>
            <w:r>
              <w:rPr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10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9021" w14:textId="77777777" w:rsidR="00B453D0" w:rsidRDefault="008962F5">
            <w:pPr>
              <w:pStyle w:val="Textbodyindent"/>
              <w:ind w:left="397" w:right="113" w:hanging="379"/>
            </w:pPr>
            <w:r>
              <w:rPr>
                <w:b/>
                <w:bCs/>
                <w:i w:val="0"/>
                <w:iCs w:val="0"/>
              </w:rPr>
              <w:t xml:space="preserve">Art.84. </w:t>
            </w:r>
            <w:r>
              <w:rPr>
                <w:i w:val="0"/>
                <w:iCs w:val="0"/>
              </w:rPr>
              <w:t xml:space="preserve">Taxa </w:t>
            </w:r>
            <w:r>
              <w:rPr>
                <w:i w:val="0"/>
                <w:iCs w:val="0"/>
              </w:rPr>
              <w:t>pentru accesul în Parcul Nicolae Romanescu pentru toate tipurile de vehicule aşa cum sunt menţionate în H.C.L. nr. 217/2005 se  stabileşte la 4,8 lei/mp/zi/vehicul.</w:t>
            </w:r>
          </w:p>
        </w:tc>
        <w:tc>
          <w:tcPr>
            <w:tcW w:w="2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10F9C" w14:textId="77777777" w:rsidR="00B453D0" w:rsidRDefault="008962F5">
            <w:pPr>
              <w:pStyle w:val="Standard"/>
              <w:ind w:hanging="18"/>
            </w:pPr>
            <w:r>
              <w:rPr>
                <w:bCs/>
                <w:sz w:val="28"/>
                <w:szCs w:val="28"/>
                <w:lang w:val="ro-RO"/>
              </w:rPr>
              <w:t>Direcţia Servicii Publice</w:t>
            </w:r>
          </w:p>
        </w:tc>
      </w:tr>
      <w:tr w:rsidR="00B453D0" w14:paraId="1C5A1EBA" w14:textId="77777777">
        <w:tblPrEx>
          <w:tblCellMar>
            <w:top w:w="0" w:type="dxa"/>
            <w:bottom w:w="0" w:type="dxa"/>
          </w:tblCellMar>
        </w:tblPrEx>
        <w:trPr>
          <w:trHeight w:val="1880"/>
        </w:trPr>
        <w:tc>
          <w:tcPr>
            <w:tcW w:w="9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57E39" w14:textId="77777777" w:rsidR="00B453D0" w:rsidRDefault="008962F5">
            <w:pPr>
              <w:pStyle w:val="Standard"/>
              <w:tabs>
                <w:tab w:val="left" w:pos="0"/>
              </w:tabs>
              <w:jc w:val="center"/>
            </w:pPr>
            <w:r>
              <w:rPr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10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3590" w14:textId="77777777" w:rsidR="00B453D0" w:rsidRDefault="008962F5">
            <w:pPr>
              <w:pStyle w:val="Standard"/>
              <w:ind w:hanging="18"/>
            </w:pPr>
            <w:r>
              <w:rPr>
                <w:sz w:val="28"/>
                <w:szCs w:val="28"/>
                <w:lang w:val="ro-RO"/>
              </w:rPr>
              <w:t xml:space="preserve">Taxă pentru atestarea în vederea îndeplinirii </w:t>
            </w:r>
            <w:r>
              <w:rPr>
                <w:sz w:val="28"/>
                <w:szCs w:val="28"/>
                <w:lang w:val="ro-RO"/>
              </w:rPr>
              <w:t>funcţiei de administrator de imobile, stabilită prin HCL 303/2012, este de 100 lei în cazul persoanelor fizice şi 300 lei în cazul persoanelor juridice. Taxele speciale pentru activitatea de administrare a imobilelor se utilizează integral pentru buna desf</w:t>
            </w:r>
            <w:r>
              <w:rPr>
                <w:sz w:val="28"/>
                <w:szCs w:val="28"/>
                <w:lang w:val="ro-RO"/>
              </w:rPr>
              <w:t>ăşurare a activităţii de atestare a persoanelor fizice, precum şi de autorizare a persoanelor juridice,  conform  art. 60 din HCL nr. 303/2012.</w:t>
            </w:r>
          </w:p>
        </w:tc>
        <w:tc>
          <w:tcPr>
            <w:tcW w:w="2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B9B86" w14:textId="77777777" w:rsidR="00B453D0" w:rsidRDefault="008962F5">
            <w:pPr>
              <w:pStyle w:val="Standard"/>
              <w:ind w:hanging="18"/>
            </w:pPr>
            <w:r>
              <w:rPr>
                <w:bCs/>
                <w:sz w:val="28"/>
                <w:szCs w:val="28"/>
                <w:lang w:val="ro-RO"/>
              </w:rPr>
              <w:t>Direcţia Fond Locativ şi Control Asociaţii de Proprietari</w:t>
            </w:r>
          </w:p>
        </w:tc>
      </w:tr>
    </w:tbl>
    <w:p w14:paraId="48597E24" w14:textId="77777777" w:rsidR="00B453D0" w:rsidRDefault="00B453D0">
      <w:pPr>
        <w:pStyle w:val="Standard"/>
      </w:pPr>
    </w:p>
    <w:sectPr w:rsidR="00B453D0">
      <w:pgSz w:w="15840" w:h="12240" w:orient="landscape"/>
      <w:pgMar w:top="726" w:right="1440" w:bottom="647" w:left="7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6B88A" w14:textId="77777777" w:rsidR="008962F5" w:rsidRDefault="008962F5">
      <w:r>
        <w:separator/>
      </w:r>
    </w:p>
  </w:endnote>
  <w:endnote w:type="continuationSeparator" w:id="0">
    <w:p w14:paraId="5B167BF3" w14:textId="77777777" w:rsidR="008962F5" w:rsidRDefault="0089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52867" w14:textId="77777777" w:rsidR="008962F5" w:rsidRDefault="008962F5">
      <w:r>
        <w:rPr>
          <w:color w:val="000000"/>
        </w:rPr>
        <w:separator/>
      </w:r>
    </w:p>
  </w:footnote>
  <w:footnote w:type="continuationSeparator" w:id="0">
    <w:p w14:paraId="1A3052D1" w14:textId="77777777" w:rsidR="008962F5" w:rsidRDefault="00896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7310B"/>
    <w:multiLevelType w:val="multilevel"/>
    <w:tmpl w:val="79F05AF2"/>
    <w:styleLink w:val="WWNum1"/>
    <w:lvl w:ilvl="0">
      <w:start w:val="1"/>
      <w:numFmt w:val="lowerLetter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1.%2.%3."/>
      <w:lvlJc w:val="right"/>
      <w:pPr>
        <w:ind w:left="2700" w:hanging="180"/>
      </w:pPr>
    </w:lvl>
    <w:lvl w:ilvl="3">
      <w:start w:val="1"/>
      <w:numFmt w:val="decimal"/>
      <w:lvlText w:val="%1.%2.%3.%4."/>
      <w:lvlJc w:val="left"/>
      <w:pPr>
        <w:ind w:left="3420" w:hanging="360"/>
      </w:pPr>
    </w:lvl>
    <w:lvl w:ilvl="4">
      <w:start w:val="1"/>
      <w:numFmt w:val="lowerLetter"/>
      <w:lvlText w:val="%1.%2.%3.%4.%5."/>
      <w:lvlJc w:val="left"/>
      <w:pPr>
        <w:ind w:left="4140" w:hanging="360"/>
      </w:pPr>
    </w:lvl>
    <w:lvl w:ilvl="5">
      <w:start w:val="1"/>
      <w:numFmt w:val="lowerRoman"/>
      <w:lvlText w:val="%1.%2.%3.%4.%5.%6."/>
      <w:lvlJc w:val="right"/>
      <w:pPr>
        <w:ind w:left="4860" w:hanging="180"/>
      </w:pPr>
    </w:lvl>
    <w:lvl w:ilvl="6">
      <w:start w:val="1"/>
      <w:numFmt w:val="decimal"/>
      <w:lvlText w:val="%1.%2.%3.%4.%5.%6.%7."/>
      <w:lvlJc w:val="left"/>
      <w:pPr>
        <w:ind w:left="5580" w:hanging="360"/>
      </w:pPr>
    </w:lvl>
    <w:lvl w:ilvl="7">
      <w:start w:val="1"/>
      <w:numFmt w:val="lowerLetter"/>
      <w:lvlText w:val="%1.%2.%3.%4.%5.%6.%7.%8."/>
      <w:lvlJc w:val="left"/>
      <w:pPr>
        <w:ind w:left="6300" w:hanging="360"/>
      </w:pPr>
    </w:lvl>
    <w:lvl w:ilvl="8">
      <w:start w:val="1"/>
      <w:numFmt w:val="lowerRoman"/>
      <w:lvlText w:val="%1.%2.%3.%4.%5.%6.%7.%8.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453D0"/>
    <w:rsid w:val="008962F5"/>
    <w:rsid w:val="00B453D0"/>
    <w:rsid w:val="00E9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CF67"/>
  <w15:docId w15:val="{72D2F715-50B4-4A76-B932-91EC4B78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ind w:left="7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Standard"/>
    <w:next w:val="Textbody"/>
    <w:pPr>
      <w:keepNext/>
      <w:jc w:val="center"/>
      <w:outlineLvl w:val="6"/>
    </w:pPr>
    <w:rPr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left="283" w:firstLine="720"/>
      <w:jc w:val="both"/>
    </w:pPr>
    <w:rPr>
      <w:i/>
      <w:iCs/>
      <w:sz w:val="28"/>
      <w:szCs w:val="28"/>
      <w:lang w:val="ro-RO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Heading7Char">
    <w:name w:val="Heading 7 Char"/>
    <w:basedOn w:val="DefaultParagraphFont"/>
    <w:rPr>
      <w:rFonts w:ascii="Times New Roman" w:eastAsia="Times New Roman" w:hAnsi="Times New Roman" w:cs="Times New Roman"/>
      <w:sz w:val="26"/>
      <w:szCs w:val="26"/>
      <w:lang w:val="ro-RO"/>
    </w:rPr>
  </w:style>
  <w:style w:type="character" w:customStyle="1" w:styleId="BodyTextIndentChar">
    <w:name w:val="Body Text Indent Char"/>
    <w:basedOn w:val="DefaultParagraphFont"/>
    <w:rPr>
      <w:rFonts w:ascii="Times New Roman" w:eastAsia="Times New Roman" w:hAnsi="Times New Roman" w:cs="Times New Roman"/>
      <w:i/>
      <w:iCs/>
      <w:sz w:val="28"/>
      <w:szCs w:val="28"/>
      <w:lang w:val="ro-RO"/>
    </w:rPr>
  </w:style>
  <w:style w:type="character" w:customStyle="1" w:styleId="BodyTextChar">
    <w:name w:val="Body Text Char"/>
    <w:basedOn w:val="DefaultParagraphFont"/>
    <w:rPr>
      <w:rFonts w:ascii="Times New Roman" w:eastAsia="Times New Roman" w:hAnsi="Times New Roman" w:cs="Times New Roman"/>
      <w:sz w:val="20"/>
      <w:szCs w:val="20"/>
    </w:r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emilg</dc:creator>
  <cp:lastModifiedBy>Vlad-Andrei Gruia</cp:lastModifiedBy>
  <cp:revision>2</cp:revision>
  <cp:lastPrinted>2015-10-05T10:58:00Z</cp:lastPrinted>
  <dcterms:created xsi:type="dcterms:W3CDTF">2021-09-20T13:05:00Z</dcterms:created>
  <dcterms:modified xsi:type="dcterms:W3CDTF">2021-09-20T13:05:00Z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