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3A" w:rsidRPr="00C946C5" w:rsidRDefault="0045193A" w:rsidP="0045193A">
      <w:pPr>
        <w:spacing w:after="0" w:line="240" w:lineRule="auto"/>
        <w:ind w:hanging="851"/>
        <w:jc w:val="right"/>
        <w:rPr>
          <w:rFonts w:ascii="Times New Roman" w:hAnsi="Times New Roman" w:cs="Times New Roman"/>
          <w:b/>
          <w:sz w:val="28"/>
          <w:szCs w:val="28"/>
        </w:rPr>
      </w:pPr>
      <w:r w:rsidRPr="00C946C5">
        <w:rPr>
          <w:rFonts w:ascii="Times New Roman" w:hAnsi="Times New Roman" w:cs="Times New Roman"/>
          <w:b/>
          <w:sz w:val="28"/>
          <w:szCs w:val="28"/>
        </w:rPr>
        <w:t>Anexa nr.</w:t>
      </w:r>
      <w:r w:rsidR="00683FC0" w:rsidRPr="00C946C5">
        <w:rPr>
          <w:rFonts w:ascii="Times New Roman" w:hAnsi="Times New Roman" w:cs="Times New Roman"/>
          <w:b/>
          <w:sz w:val="28"/>
          <w:szCs w:val="28"/>
        </w:rPr>
        <w:t>23</w:t>
      </w:r>
      <w:r w:rsidRPr="00C946C5">
        <w:rPr>
          <w:rFonts w:ascii="Times New Roman" w:hAnsi="Times New Roman" w:cs="Times New Roman"/>
          <w:b/>
          <w:sz w:val="28"/>
          <w:szCs w:val="28"/>
        </w:rPr>
        <w:t xml:space="preserve"> la HCL nr.__</w:t>
      </w:r>
    </w:p>
    <w:p w:rsidR="0045193A" w:rsidRPr="00C946C5" w:rsidRDefault="0045193A" w:rsidP="0045193A">
      <w:pPr>
        <w:spacing w:after="0" w:line="240" w:lineRule="auto"/>
        <w:ind w:hanging="851"/>
        <w:jc w:val="right"/>
        <w:rPr>
          <w:rFonts w:ascii="Times New Roman" w:hAnsi="Times New Roman" w:cs="Times New Roman"/>
          <w:sz w:val="28"/>
          <w:szCs w:val="28"/>
        </w:rPr>
      </w:pPr>
    </w:p>
    <w:p w:rsidR="0045193A" w:rsidRPr="00C946C5" w:rsidRDefault="0045193A" w:rsidP="0045193A">
      <w:pPr>
        <w:spacing w:after="0" w:line="240" w:lineRule="auto"/>
        <w:ind w:hanging="851"/>
        <w:jc w:val="right"/>
        <w:rPr>
          <w:rFonts w:ascii="Times New Roman" w:hAnsi="Times New Roman" w:cs="Times New Roman"/>
          <w:sz w:val="28"/>
          <w:szCs w:val="28"/>
        </w:rPr>
      </w:pPr>
    </w:p>
    <w:p w:rsidR="00485D6D" w:rsidRPr="00C946C5" w:rsidRDefault="00091987" w:rsidP="000B0296">
      <w:pPr>
        <w:spacing w:after="0" w:line="240" w:lineRule="auto"/>
        <w:ind w:hanging="851"/>
        <w:jc w:val="center"/>
        <w:rPr>
          <w:rFonts w:ascii="Times New Roman" w:hAnsi="Times New Roman" w:cs="Times New Roman"/>
          <w:sz w:val="28"/>
          <w:szCs w:val="28"/>
        </w:rPr>
      </w:pPr>
      <w:r w:rsidRPr="00C946C5">
        <w:rPr>
          <w:rFonts w:ascii="Times New Roman" w:hAnsi="Times New Roman" w:cs="Times New Roman"/>
          <w:sz w:val="28"/>
          <w:szCs w:val="28"/>
        </w:rPr>
        <w:t>REGULAMENT</w:t>
      </w:r>
    </w:p>
    <w:p w:rsidR="000B0296" w:rsidRPr="00C946C5" w:rsidRDefault="000B0296" w:rsidP="000B0296">
      <w:pPr>
        <w:spacing w:after="0" w:line="240" w:lineRule="auto"/>
        <w:ind w:hanging="851"/>
        <w:jc w:val="center"/>
        <w:rPr>
          <w:rFonts w:ascii="Times New Roman" w:hAnsi="Times New Roman" w:cs="Times New Roman"/>
          <w:sz w:val="28"/>
          <w:szCs w:val="28"/>
        </w:rPr>
      </w:pPr>
      <w:r w:rsidRPr="00C946C5">
        <w:rPr>
          <w:rFonts w:ascii="Times New Roman" w:hAnsi="Times New Roman" w:cs="Times New Roman"/>
          <w:sz w:val="28"/>
          <w:szCs w:val="28"/>
        </w:rPr>
        <w:t xml:space="preserve">privind </w:t>
      </w:r>
      <w:r w:rsidR="00C606B5" w:rsidRPr="00C946C5">
        <w:rPr>
          <w:rFonts w:ascii="Times New Roman" w:hAnsi="Times New Roman" w:cs="Times New Roman"/>
          <w:sz w:val="28"/>
          <w:szCs w:val="28"/>
        </w:rPr>
        <w:t>instituirea</w:t>
      </w:r>
      <w:r w:rsidRPr="00C946C5">
        <w:rPr>
          <w:rFonts w:ascii="Times New Roman" w:hAnsi="Times New Roman" w:cs="Times New Roman"/>
          <w:sz w:val="28"/>
          <w:szCs w:val="28"/>
        </w:rPr>
        <w:t xml:space="preserve"> taxelor speciale pentru eliberarea </w:t>
      </w:r>
    </w:p>
    <w:p w:rsidR="00091987" w:rsidRPr="00C946C5" w:rsidRDefault="000B0296" w:rsidP="000B0296">
      <w:pPr>
        <w:spacing w:after="0" w:line="240" w:lineRule="auto"/>
        <w:jc w:val="center"/>
        <w:rPr>
          <w:rFonts w:ascii="Times New Roman" w:hAnsi="Times New Roman" w:cs="Times New Roman"/>
          <w:sz w:val="28"/>
          <w:szCs w:val="28"/>
        </w:rPr>
      </w:pPr>
      <w:r w:rsidRPr="00C946C5">
        <w:rPr>
          <w:rFonts w:ascii="Times New Roman" w:hAnsi="Times New Roman" w:cs="Times New Roman"/>
          <w:sz w:val="28"/>
          <w:szCs w:val="28"/>
        </w:rPr>
        <w:t>de înscrisuri, adeverinţe, certificate, respectiv taxele pentru eliberarea în regim de urgenţă a acestora</w:t>
      </w:r>
    </w:p>
    <w:p w:rsidR="00091987" w:rsidRPr="00C946C5" w:rsidRDefault="00091987" w:rsidP="007D6871">
      <w:pPr>
        <w:spacing w:after="0" w:line="240" w:lineRule="auto"/>
        <w:ind w:hanging="851"/>
        <w:jc w:val="both"/>
        <w:rPr>
          <w:rFonts w:ascii="Times New Roman" w:hAnsi="Times New Roman" w:cs="Times New Roman"/>
          <w:sz w:val="28"/>
          <w:szCs w:val="28"/>
        </w:rPr>
      </w:pPr>
    </w:p>
    <w:p w:rsidR="00091987" w:rsidRPr="00C946C5" w:rsidRDefault="00091987"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 xml:space="preserve">Art. 1. </w:t>
      </w:r>
      <w:r w:rsidR="00C606B5" w:rsidRPr="00C946C5">
        <w:rPr>
          <w:rFonts w:ascii="Times New Roman" w:hAnsi="Times New Roman" w:cs="Times New Roman"/>
          <w:sz w:val="28"/>
          <w:szCs w:val="28"/>
        </w:rPr>
        <w:t>În temeiul dispoziţiilor:</w:t>
      </w:r>
    </w:p>
    <w:p w:rsidR="00C606B5" w:rsidRPr="00C946C5" w:rsidRDefault="0097111A" w:rsidP="00C606B5">
      <w:pPr>
        <w:pStyle w:val="ListParagraph"/>
        <w:numPr>
          <w:ilvl w:val="0"/>
          <w:numId w:val="2"/>
        </w:numPr>
        <w:tabs>
          <w:tab w:val="left" w:pos="709"/>
        </w:tabs>
        <w:spacing w:after="0" w:line="240" w:lineRule="auto"/>
        <w:jc w:val="both"/>
        <w:rPr>
          <w:rFonts w:ascii="Times New Roman" w:hAnsi="Times New Roman" w:cs="Times New Roman"/>
          <w:sz w:val="28"/>
          <w:szCs w:val="28"/>
        </w:rPr>
      </w:pPr>
      <w:r w:rsidRPr="00C946C5">
        <w:rPr>
          <w:rFonts w:ascii="Times New Roman" w:hAnsi="Times New Roman" w:cs="Times New Roman"/>
          <w:sz w:val="28"/>
          <w:szCs w:val="28"/>
        </w:rPr>
        <w:t>art. 484</w:t>
      </w:r>
      <w:r w:rsidR="00C606B5" w:rsidRPr="00C946C5">
        <w:rPr>
          <w:rFonts w:ascii="Times New Roman" w:hAnsi="Times New Roman" w:cs="Times New Roman"/>
          <w:sz w:val="28"/>
          <w:szCs w:val="28"/>
        </w:rPr>
        <w:t xml:space="preserve"> din Legea nr.227/2015 privind Codul fiscal;</w:t>
      </w:r>
    </w:p>
    <w:p w:rsidR="00C606B5" w:rsidRPr="00C946C5" w:rsidRDefault="00C606B5" w:rsidP="00C606B5">
      <w:pPr>
        <w:pStyle w:val="ListParagraph"/>
        <w:numPr>
          <w:ilvl w:val="0"/>
          <w:numId w:val="2"/>
        </w:numPr>
        <w:tabs>
          <w:tab w:val="left" w:pos="709"/>
        </w:tabs>
        <w:spacing w:after="0" w:line="240" w:lineRule="auto"/>
        <w:jc w:val="both"/>
        <w:rPr>
          <w:rFonts w:ascii="Times New Roman" w:hAnsi="Times New Roman" w:cs="Times New Roman"/>
          <w:sz w:val="28"/>
          <w:szCs w:val="28"/>
        </w:rPr>
      </w:pPr>
      <w:r w:rsidRPr="00C946C5">
        <w:rPr>
          <w:rFonts w:ascii="Times New Roman" w:hAnsi="Times New Roman" w:cs="Times New Roman"/>
          <w:sz w:val="28"/>
          <w:szCs w:val="28"/>
        </w:rPr>
        <w:t>art. 30 al legii nr.273/2006 privind Finanţele publice locale, cu modificările şi completările ulterioare;</w:t>
      </w:r>
    </w:p>
    <w:p w:rsidR="00C606B5" w:rsidRPr="00C946C5" w:rsidRDefault="00C606B5" w:rsidP="00C606B5">
      <w:pPr>
        <w:pStyle w:val="ListParagraph"/>
        <w:numPr>
          <w:ilvl w:val="0"/>
          <w:numId w:val="2"/>
        </w:numPr>
        <w:tabs>
          <w:tab w:val="left" w:pos="709"/>
        </w:tabs>
        <w:spacing w:after="0" w:line="240" w:lineRule="auto"/>
        <w:jc w:val="both"/>
        <w:rPr>
          <w:rFonts w:ascii="Times New Roman" w:hAnsi="Times New Roman" w:cs="Times New Roman"/>
          <w:sz w:val="28"/>
          <w:szCs w:val="28"/>
        </w:rPr>
      </w:pPr>
      <w:r w:rsidRPr="00C946C5">
        <w:rPr>
          <w:rFonts w:ascii="Times New Roman" w:hAnsi="Times New Roman" w:cs="Times New Roman"/>
          <w:sz w:val="28"/>
          <w:szCs w:val="28"/>
        </w:rPr>
        <w:t>Legea administraţiri publice locale nr.215/2001, republicată, cu modificările şi completările ulterioare;</w:t>
      </w:r>
    </w:p>
    <w:p w:rsidR="00C606B5" w:rsidRPr="00C946C5" w:rsidRDefault="00C606B5" w:rsidP="00C606B5">
      <w:pPr>
        <w:pStyle w:val="ListParagraph"/>
        <w:numPr>
          <w:ilvl w:val="0"/>
          <w:numId w:val="2"/>
        </w:numPr>
        <w:tabs>
          <w:tab w:val="left" w:pos="709"/>
        </w:tabs>
        <w:spacing w:after="0" w:line="240" w:lineRule="auto"/>
        <w:jc w:val="both"/>
        <w:rPr>
          <w:rFonts w:ascii="Times New Roman" w:hAnsi="Times New Roman" w:cs="Times New Roman"/>
          <w:sz w:val="28"/>
          <w:szCs w:val="28"/>
        </w:rPr>
      </w:pPr>
      <w:r w:rsidRPr="00C946C5">
        <w:rPr>
          <w:rFonts w:ascii="Times New Roman" w:hAnsi="Times New Roman" w:cs="Times New Roman"/>
          <w:sz w:val="28"/>
          <w:szCs w:val="28"/>
        </w:rPr>
        <w:t>Legea 119/2006 cu privire la actele de stare civilă,  cu modificările şi completările ulterioare;</w:t>
      </w:r>
    </w:p>
    <w:p w:rsidR="00C606B5" w:rsidRPr="00C946C5" w:rsidRDefault="00C606B5" w:rsidP="00C606B5">
      <w:pPr>
        <w:pStyle w:val="ListParagraph"/>
        <w:numPr>
          <w:ilvl w:val="0"/>
          <w:numId w:val="2"/>
        </w:numPr>
        <w:jc w:val="both"/>
        <w:rPr>
          <w:rFonts w:ascii="Times New Roman" w:hAnsi="Times New Roman" w:cs="Times New Roman"/>
          <w:sz w:val="28"/>
          <w:szCs w:val="28"/>
          <w:shd w:val="clear" w:color="auto" w:fill="FFFFFF"/>
        </w:rPr>
      </w:pPr>
      <w:r w:rsidRPr="00C946C5">
        <w:rPr>
          <w:rFonts w:ascii="Times New Roman" w:hAnsi="Times New Roman" w:cs="Times New Roman"/>
          <w:sz w:val="28"/>
          <w:szCs w:val="28"/>
        </w:rPr>
        <w:t xml:space="preserve">O.G. nr.84/2001 </w:t>
      </w:r>
      <w:r w:rsidRPr="00C946C5">
        <w:rPr>
          <w:rFonts w:ascii="Times New Roman" w:hAnsi="Times New Roman" w:cs="Times New Roman"/>
          <w:sz w:val="28"/>
          <w:szCs w:val="28"/>
          <w:shd w:val="clear" w:color="auto" w:fill="FFFFFF"/>
        </w:rPr>
        <w:t>privind înființarea, organizarea și funcționarea serviciilor publice comunitare de evidență a persoanelor</w:t>
      </w:r>
    </w:p>
    <w:p w:rsidR="00C606B5" w:rsidRPr="00C946C5" w:rsidRDefault="00C606B5" w:rsidP="00C606B5">
      <w:pPr>
        <w:pStyle w:val="ListParagraph"/>
        <w:numPr>
          <w:ilvl w:val="0"/>
          <w:numId w:val="2"/>
        </w:numPr>
        <w:jc w:val="both"/>
        <w:rPr>
          <w:rFonts w:ascii="Times New Roman" w:hAnsi="Times New Roman" w:cs="Times New Roman"/>
          <w:sz w:val="28"/>
          <w:szCs w:val="28"/>
        </w:rPr>
      </w:pPr>
      <w:r w:rsidRPr="00C946C5">
        <w:rPr>
          <w:rFonts w:ascii="Times New Roman" w:hAnsi="Times New Roman" w:cs="Times New Roman"/>
          <w:sz w:val="28"/>
          <w:szCs w:val="28"/>
        </w:rPr>
        <w:t xml:space="preserve">Legea nr.16/1996 privind Arhivele Naţionale, republicată </w:t>
      </w:r>
    </w:p>
    <w:p w:rsidR="00C606B5" w:rsidRPr="00C946C5" w:rsidRDefault="009230E2" w:rsidP="00C606B5">
      <w:pPr>
        <w:pStyle w:val="ListParagraph"/>
        <w:numPr>
          <w:ilvl w:val="0"/>
          <w:numId w:val="2"/>
        </w:numPr>
        <w:shd w:val="clear" w:color="auto" w:fill="FFFFFF"/>
        <w:jc w:val="both"/>
        <w:outlineLvl w:val="2"/>
        <w:rPr>
          <w:rFonts w:ascii="Times New Roman" w:eastAsia="Times New Roman" w:hAnsi="Times New Roman" w:cs="Times New Roman"/>
          <w:sz w:val="28"/>
          <w:szCs w:val="28"/>
        </w:rPr>
      </w:pPr>
      <w:hyperlink r:id="rId5" w:history="1">
        <w:r w:rsidR="00C606B5" w:rsidRPr="00C946C5">
          <w:rPr>
            <w:rFonts w:ascii="Times New Roman" w:eastAsia="Times New Roman" w:hAnsi="Times New Roman" w:cs="Times New Roman"/>
            <w:sz w:val="28"/>
            <w:szCs w:val="28"/>
          </w:rPr>
          <w:t>Legea nr. 50/1991 privind autorizarea executării lucrărilor de</w:t>
        </w:r>
      </w:hyperlink>
      <w:r w:rsidR="00C606B5" w:rsidRPr="00C946C5">
        <w:rPr>
          <w:rFonts w:ascii="Times New Roman" w:eastAsia="Times New Roman" w:hAnsi="Times New Roman" w:cs="Times New Roman"/>
          <w:sz w:val="28"/>
          <w:szCs w:val="28"/>
        </w:rPr>
        <w:t xml:space="preserve"> construcţii</w:t>
      </w:r>
    </w:p>
    <w:p w:rsidR="00C606B5" w:rsidRPr="00C946C5" w:rsidRDefault="009230E2" w:rsidP="00C606B5">
      <w:pPr>
        <w:pStyle w:val="ListParagraph"/>
        <w:numPr>
          <w:ilvl w:val="0"/>
          <w:numId w:val="2"/>
        </w:numPr>
        <w:shd w:val="clear" w:color="auto" w:fill="FFFFFF"/>
        <w:jc w:val="both"/>
        <w:outlineLvl w:val="2"/>
        <w:rPr>
          <w:rFonts w:ascii="Times New Roman" w:eastAsia="Times New Roman" w:hAnsi="Times New Roman" w:cs="Times New Roman"/>
          <w:sz w:val="28"/>
          <w:szCs w:val="28"/>
        </w:rPr>
      </w:pPr>
      <w:hyperlink r:id="rId6" w:history="1">
        <w:r w:rsidR="00C606B5" w:rsidRPr="00C946C5">
          <w:rPr>
            <w:rStyle w:val="Hyperlink"/>
            <w:rFonts w:ascii="Times New Roman" w:hAnsi="Times New Roman" w:cs="Times New Roman"/>
            <w:bCs/>
            <w:color w:val="auto"/>
            <w:sz w:val="28"/>
            <w:szCs w:val="28"/>
            <w:u w:val="none"/>
          </w:rPr>
          <w:t>Ordinul</w:t>
        </w:r>
      </w:hyperlink>
      <w:r w:rsidR="00C606B5" w:rsidRPr="00C946C5">
        <w:rPr>
          <w:rFonts w:ascii="Times New Roman" w:hAnsi="Times New Roman" w:cs="Times New Roman"/>
          <w:bCs/>
          <w:sz w:val="28"/>
          <w:szCs w:val="28"/>
        </w:rPr>
        <w:t xml:space="preserve"> 839/2009 pentru aprobarea Normelor Metodologice de aplicare a </w:t>
      </w:r>
      <w:hyperlink r:id="rId7" w:history="1">
        <w:r w:rsidR="00C606B5" w:rsidRPr="00C946C5">
          <w:rPr>
            <w:rFonts w:ascii="Times New Roman" w:eastAsia="Times New Roman" w:hAnsi="Times New Roman" w:cs="Times New Roman"/>
            <w:sz w:val="28"/>
            <w:szCs w:val="28"/>
          </w:rPr>
          <w:t>Legea nr. 50/1991 privind autorizarea executării lucrărilor de</w:t>
        </w:r>
      </w:hyperlink>
      <w:r w:rsidR="00C606B5" w:rsidRPr="00C946C5">
        <w:rPr>
          <w:rFonts w:ascii="Times New Roman" w:eastAsia="Times New Roman" w:hAnsi="Times New Roman" w:cs="Times New Roman"/>
          <w:sz w:val="28"/>
          <w:szCs w:val="28"/>
        </w:rPr>
        <w:t xml:space="preserve"> construcţii</w:t>
      </w:r>
    </w:p>
    <w:p w:rsidR="00BB598C" w:rsidRPr="00C946C5" w:rsidRDefault="00BB598C" w:rsidP="00C606B5">
      <w:pPr>
        <w:pStyle w:val="ListParagraph"/>
        <w:numPr>
          <w:ilvl w:val="0"/>
          <w:numId w:val="2"/>
        </w:numPr>
        <w:shd w:val="clear" w:color="auto" w:fill="FFFFFF"/>
        <w:jc w:val="both"/>
        <w:outlineLvl w:val="2"/>
        <w:rPr>
          <w:rFonts w:ascii="Times New Roman" w:eastAsia="Times New Roman" w:hAnsi="Times New Roman" w:cs="Times New Roman"/>
          <w:sz w:val="28"/>
          <w:szCs w:val="28"/>
        </w:rPr>
      </w:pPr>
      <w:r w:rsidRPr="00C946C5">
        <w:rPr>
          <w:rFonts w:ascii="Times New Roman" w:eastAsia="Times New Roman" w:hAnsi="Times New Roman" w:cs="Times New Roman"/>
          <w:sz w:val="28"/>
          <w:szCs w:val="28"/>
        </w:rPr>
        <w:t xml:space="preserve">Legea nr.544/2001 </w:t>
      </w:r>
      <w:r w:rsidRPr="00C946C5">
        <w:rPr>
          <w:rFonts w:ascii="Times New Roman" w:hAnsi="Times New Roman" w:cs="Times New Roman"/>
          <w:sz w:val="28"/>
          <w:szCs w:val="28"/>
          <w:shd w:val="clear" w:color="auto" w:fill="FFFFFF"/>
        </w:rPr>
        <w:t> privind liberul acces la informatiile de interes public</w:t>
      </w:r>
    </w:p>
    <w:p w:rsidR="00BB598C" w:rsidRPr="00C946C5" w:rsidRDefault="00BB598C" w:rsidP="00C606B5">
      <w:pPr>
        <w:pStyle w:val="ListParagraph"/>
        <w:numPr>
          <w:ilvl w:val="0"/>
          <w:numId w:val="2"/>
        </w:numPr>
        <w:shd w:val="clear" w:color="auto" w:fill="FFFFFF"/>
        <w:jc w:val="both"/>
        <w:outlineLvl w:val="2"/>
        <w:rPr>
          <w:rFonts w:ascii="Times New Roman" w:eastAsia="Times New Roman" w:hAnsi="Times New Roman" w:cs="Times New Roman"/>
          <w:sz w:val="28"/>
          <w:szCs w:val="28"/>
        </w:rPr>
      </w:pPr>
      <w:r w:rsidRPr="00C946C5">
        <w:rPr>
          <w:rFonts w:ascii="Times New Roman" w:hAnsi="Times New Roman" w:cs="Times New Roman"/>
          <w:sz w:val="28"/>
          <w:szCs w:val="28"/>
          <w:shd w:val="clear" w:color="auto" w:fill="FFFFFF"/>
        </w:rPr>
        <w:t xml:space="preserve">Legea nr.7/1996 a </w:t>
      </w:r>
      <w:r w:rsidRPr="00C946C5">
        <w:rPr>
          <w:rFonts w:ascii="Times New Roman" w:hAnsi="Times New Roman" w:cs="Times New Roman"/>
          <w:bCs/>
          <w:sz w:val="28"/>
          <w:szCs w:val="28"/>
          <w:shd w:val="clear" w:color="auto" w:fill="FFFFFF"/>
        </w:rPr>
        <w:t>cadastrului și a publicității imobiliare</w:t>
      </w:r>
    </w:p>
    <w:p w:rsidR="007D6871" w:rsidRPr="00C946C5" w:rsidRDefault="00C606B5"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ab/>
        <w:t>Se instituie taxele speciale prevăzute în prezentul regulament.</w:t>
      </w:r>
    </w:p>
    <w:p w:rsidR="00C606B5" w:rsidRPr="00C946C5" w:rsidRDefault="00C606B5" w:rsidP="00AA72B5">
      <w:pPr>
        <w:tabs>
          <w:tab w:val="left" w:pos="709"/>
        </w:tabs>
        <w:spacing w:after="0" w:line="240" w:lineRule="auto"/>
        <w:ind w:left="709" w:hanging="709"/>
        <w:jc w:val="both"/>
        <w:rPr>
          <w:rFonts w:ascii="Times New Roman" w:hAnsi="Times New Roman" w:cs="Times New Roman"/>
          <w:sz w:val="28"/>
          <w:szCs w:val="28"/>
        </w:rPr>
      </w:pPr>
    </w:p>
    <w:p w:rsidR="007D6871" w:rsidRPr="00C946C5" w:rsidRDefault="00091987"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 xml:space="preserve">Art. </w:t>
      </w:r>
      <w:r w:rsidR="00C606B5" w:rsidRPr="00C946C5">
        <w:rPr>
          <w:rFonts w:ascii="Times New Roman" w:hAnsi="Times New Roman" w:cs="Times New Roman"/>
          <w:sz w:val="28"/>
          <w:szCs w:val="28"/>
        </w:rPr>
        <w:t>2</w:t>
      </w:r>
      <w:r w:rsidRPr="00C946C5">
        <w:rPr>
          <w:rFonts w:ascii="Times New Roman" w:hAnsi="Times New Roman" w:cs="Times New Roman"/>
          <w:sz w:val="28"/>
          <w:szCs w:val="28"/>
        </w:rPr>
        <w:t>. Cuantumul taxelor speciale se stabilește anual prin hotărâri ale Consiliului Local, iar veniturile obținute din acestea se utilizeaza integral pentru finanțarea cheltuielilor de întreținere și funcționare ale Direcțiilor de specialitate</w:t>
      </w:r>
      <w:r w:rsidR="00C606B5" w:rsidRPr="00C946C5">
        <w:rPr>
          <w:rFonts w:ascii="Times New Roman" w:hAnsi="Times New Roman" w:cs="Times New Roman"/>
          <w:sz w:val="28"/>
          <w:szCs w:val="28"/>
        </w:rPr>
        <w:t xml:space="preserve">. Taxele speciale se încasează numai de la persoanele fizice și juridice care se folosesc de serviciile publice pentru care s-au instituit taxele respective.  </w:t>
      </w:r>
    </w:p>
    <w:p w:rsidR="00C606B5" w:rsidRPr="00C946C5" w:rsidRDefault="00C606B5" w:rsidP="00AA72B5">
      <w:pPr>
        <w:tabs>
          <w:tab w:val="left" w:pos="709"/>
        </w:tabs>
        <w:spacing w:after="0" w:line="240" w:lineRule="auto"/>
        <w:ind w:left="709" w:hanging="709"/>
        <w:jc w:val="both"/>
        <w:rPr>
          <w:rFonts w:ascii="Times New Roman" w:hAnsi="Times New Roman" w:cs="Times New Roman"/>
          <w:sz w:val="28"/>
          <w:szCs w:val="28"/>
        </w:rPr>
      </w:pPr>
    </w:p>
    <w:p w:rsidR="007D6871" w:rsidRPr="00C946C5" w:rsidRDefault="00091987"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 xml:space="preserve">Art. 4. </w:t>
      </w:r>
      <w:r w:rsidR="006C224F" w:rsidRPr="00C946C5">
        <w:rPr>
          <w:rFonts w:ascii="Times New Roman" w:hAnsi="Times New Roman" w:cs="Times New Roman"/>
          <w:sz w:val="28"/>
          <w:szCs w:val="28"/>
        </w:rPr>
        <w:t>Prezentul Regulament se aplică pentru t</w:t>
      </w:r>
      <w:r w:rsidRPr="00C946C5">
        <w:rPr>
          <w:rFonts w:ascii="Times New Roman" w:hAnsi="Times New Roman" w:cs="Times New Roman"/>
          <w:sz w:val="28"/>
          <w:szCs w:val="28"/>
        </w:rPr>
        <w:t>axele speciale instituite în baza art.484 din Legea nr.227/2015 privind Codul fiscal și art.</w:t>
      </w:r>
      <w:r w:rsidR="00523364" w:rsidRPr="00C946C5">
        <w:rPr>
          <w:rFonts w:ascii="Times New Roman" w:hAnsi="Times New Roman" w:cs="Times New Roman"/>
          <w:sz w:val="28"/>
          <w:szCs w:val="28"/>
        </w:rPr>
        <w:t>30 din Legea nr.273/2006 priv</w:t>
      </w:r>
      <w:r w:rsidR="00AA72B5" w:rsidRPr="00C946C5">
        <w:rPr>
          <w:rFonts w:ascii="Times New Roman" w:hAnsi="Times New Roman" w:cs="Times New Roman"/>
          <w:sz w:val="28"/>
          <w:szCs w:val="28"/>
        </w:rPr>
        <w:t>i</w:t>
      </w:r>
      <w:r w:rsidR="00523364" w:rsidRPr="00C946C5">
        <w:rPr>
          <w:rFonts w:ascii="Times New Roman" w:hAnsi="Times New Roman" w:cs="Times New Roman"/>
          <w:sz w:val="28"/>
          <w:szCs w:val="28"/>
        </w:rPr>
        <w:t>nd finanțele publice locale, pentru anul 2018</w:t>
      </w:r>
      <w:r w:rsidR="006C224F" w:rsidRPr="00C946C5">
        <w:rPr>
          <w:rFonts w:ascii="Times New Roman" w:hAnsi="Times New Roman" w:cs="Times New Roman"/>
          <w:sz w:val="28"/>
          <w:szCs w:val="28"/>
        </w:rPr>
        <w:t xml:space="preserve">, </w:t>
      </w:r>
      <w:r w:rsidR="00523364" w:rsidRPr="00C946C5">
        <w:rPr>
          <w:rFonts w:ascii="Times New Roman" w:hAnsi="Times New Roman" w:cs="Times New Roman"/>
          <w:sz w:val="28"/>
          <w:szCs w:val="28"/>
        </w:rPr>
        <w:t xml:space="preserve">prevăzute în Anexa nr.3 la pozițiile: </w:t>
      </w:r>
    </w:p>
    <w:p w:rsidR="00AA72B5" w:rsidRPr="00C946C5" w:rsidRDefault="00AA72B5" w:rsidP="00AA72B5">
      <w:pPr>
        <w:tabs>
          <w:tab w:val="left" w:pos="709"/>
        </w:tabs>
        <w:spacing w:after="0" w:line="240" w:lineRule="auto"/>
        <w:ind w:left="709" w:hanging="709"/>
        <w:jc w:val="both"/>
        <w:rPr>
          <w:rFonts w:ascii="Times New Roman" w:hAnsi="Times New Roman" w:cs="Times New Roman"/>
          <w:sz w:val="28"/>
          <w:szCs w:val="28"/>
        </w:rPr>
      </w:pPr>
    </w:p>
    <w:tbl>
      <w:tblPr>
        <w:tblpPr w:leftFromText="180" w:rightFromText="180" w:vertAnchor="text" w:tblpX="10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8339"/>
      </w:tblGrid>
      <w:tr w:rsidR="006C224F" w:rsidRPr="00C946C5" w:rsidTr="00500B4E">
        <w:trPr>
          <w:trHeight w:val="510"/>
        </w:trPr>
        <w:tc>
          <w:tcPr>
            <w:tcW w:w="841" w:type="dxa"/>
            <w:vAlign w:val="center"/>
          </w:tcPr>
          <w:p w:rsidR="006C224F" w:rsidRPr="00C946C5" w:rsidRDefault="006C224F" w:rsidP="006C224F">
            <w:pPr>
              <w:tabs>
                <w:tab w:val="left" w:pos="-45"/>
              </w:tabs>
              <w:spacing w:after="0" w:line="240" w:lineRule="auto"/>
              <w:jc w:val="center"/>
              <w:rPr>
                <w:rFonts w:ascii="Times New Roman" w:hAnsi="Times New Roman" w:cs="Times New Roman"/>
                <w:sz w:val="24"/>
                <w:szCs w:val="24"/>
              </w:rPr>
            </w:pPr>
            <w:r w:rsidRPr="00C946C5">
              <w:rPr>
                <w:rFonts w:ascii="Times New Roman" w:hAnsi="Times New Roman" w:cs="Times New Roman"/>
                <w:sz w:val="24"/>
                <w:szCs w:val="24"/>
              </w:rPr>
              <w:t>Pct. Anexa nr.3</w:t>
            </w:r>
          </w:p>
        </w:tc>
        <w:tc>
          <w:tcPr>
            <w:tcW w:w="8339" w:type="dxa"/>
            <w:vAlign w:val="center"/>
          </w:tcPr>
          <w:p w:rsidR="006C224F" w:rsidRPr="00C946C5" w:rsidRDefault="006C224F" w:rsidP="00460504">
            <w:pPr>
              <w:tabs>
                <w:tab w:val="left" w:pos="0"/>
              </w:tabs>
              <w:spacing w:after="0" w:line="240" w:lineRule="auto"/>
              <w:jc w:val="center"/>
              <w:rPr>
                <w:rFonts w:ascii="Times New Roman" w:hAnsi="Times New Roman" w:cs="Times New Roman"/>
                <w:sz w:val="24"/>
                <w:szCs w:val="24"/>
              </w:rPr>
            </w:pPr>
            <w:r w:rsidRPr="00C946C5">
              <w:rPr>
                <w:rFonts w:ascii="Times New Roman" w:hAnsi="Times New Roman" w:cs="Times New Roman"/>
                <w:sz w:val="24"/>
                <w:szCs w:val="24"/>
              </w:rPr>
              <w:t>Denumire taxă</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lastRenderedPageBreak/>
              <w:t>34.</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Contravaloare carte de identitate</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35.</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Contravaloare carte de identitate provizorie</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36.</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Taxa oficiere căsătorie în sediul Direcţiei de Evidenţă a Persoanelor Craiova</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37.</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Taxa oficiere căsătorie în sediul Primăriei</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38.</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Taxa pentru executarea de fotografii în incinta Casei Căsătoriilor</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39.</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Taxa înregistrare video în incinta Casei Căsătoriilor</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40.</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Contravalorea fotografiilor executate de Direcţia de Evidenţă a Persoanelor Craiova</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41.</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Taxa arhivă pentru eliberarea documentelor în baza Registrelor de Stare Civilă aflate în arhiva proprie</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42.</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Taxă furnizare date</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43</w:t>
            </w:r>
          </w:p>
        </w:tc>
        <w:tc>
          <w:tcPr>
            <w:tcW w:w="8339" w:type="dxa"/>
            <w:vAlign w:val="center"/>
          </w:tcPr>
          <w:p w:rsidR="006C224F" w:rsidRPr="00C946C5" w:rsidRDefault="006C224F" w:rsidP="00460504">
            <w:pPr>
              <w:tabs>
                <w:tab w:val="left" w:pos="0"/>
              </w:tabs>
              <w:spacing w:after="0" w:line="240" w:lineRule="auto"/>
              <w:rPr>
                <w:rFonts w:ascii="Times New Roman" w:hAnsi="Times New Roman" w:cs="Times New Roman"/>
                <w:sz w:val="24"/>
                <w:szCs w:val="24"/>
              </w:rPr>
            </w:pPr>
            <w:r w:rsidRPr="00C946C5">
              <w:rPr>
                <w:rFonts w:ascii="Times New Roman" w:hAnsi="Times New Roman" w:cs="Times New Roman"/>
                <w:sz w:val="24"/>
                <w:szCs w:val="24"/>
              </w:rPr>
              <w:t>Taxele pentru eliberarea de copii ale documentelor existente în arhiva Primăriei Municipiului Craiova, cu excepţia celor referitoare la drepturile salariale, precum şi copii ale documentelor aflate în cadrul compartimentelor de specialitate</w:t>
            </w:r>
          </w:p>
        </w:tc>
      </w:tr>
      <w:tr w:rsidR="006C224F" w:rsidRPr="00C946C5" w:rsidTr="00500B4E">
        <w:trPr>
          <w:trHeight w:val="510"/>
        </w:trPr>
        <w:tc>
          <w:tcPr>
            <w:tcW w:w="841" w:type="dxa"/>
            <w:vAlign w:val="center"/>
          </w:tcPr>
          <w:p w:rsidR="006C224F" w:rsidRPr="00C946C5" w:rsidRDefault="00BB598C" w:rsidP="006C224F">
            <w:pPr>
              <w:tabs>
                <w:tab w:val="left" w:pos="709"/>
              </w:tabs>
              <w:spacing w:after="0" w:line="240" w:lineRule="auto"/>
              <w:ind w:left="709" w:hanging="709"/>
              <w:jc w:val="center"/>
              <w:rPr>
                <w:rFonts w:ascii="Times New Roman" w:hAnsi="Times New Roman" w:cs="Times New Roman"/>
                <w:sz w:val="24"/>
                <w:szCs w:val="24"/>
              </w:rPr>
            </w:pPr>
            <w:r w:rsidRPr="00C946C5">
              <w:rPr>
                <w:rFonts w:ascii="Times New Roman" w:hAnsi="Times New Roman" w:cs="Times New Roman"/>
                <w:sz w:val="24"/>
                <w:szCs w:val="24"/>
              </w:rPr>
              <w:t>44.</w:t>
            </w:r>
          </w:p>
        </w:tc>
        <w:tc>
          <w:tcPr>
            <w:tcW w:w="8339" w:type="dxa"/>
            <w:vAlign w:val="center"/>
          </w:tcPr>
          <w:p w:rsidR="006C224F" w:rsidRPr="00C946C5" w:rsidRDefault="006C224F" w:rsidP="00460504">
            <w:pPr>
              <w:pStyle w:val="BodyTextIndent"/>
              <w:tabs>
                <w:tab w:val="left" w:pos="0"/>
                <w:tab w:val="left" w:pos="709"/>
              </w:tabs>
              <w:ind w:firstLine="0"/>
              <w:jc w:val="left"/>
              <w:rPr>
                <w:i w:val="0"/>
                <w:iCs w:val="0"/>
                <w:sz w:val="24"/>
                <w:szCs w:val="24"/>
              </w:rPr>
            </w:pPr>
            <w:r w:rsidRPr="00C946C5">
              <w:rPr>
                <w:i w:val="0"/>
                <w:iCs w:val="0"/>
                <w:sz w:val="24"/>
                <w:szCs w:val="24"/>
              </w:rPr>
              <w:t xml:space="preserve">Taxă identificare documente în arhivă </w:t>
            </w:r>
          </w:p>
        </w:tc>
      </w:tr>
      <w:tr w:rsidR="00500B4E" w:rsidRPr="00C946C5" w:rsidTr="00500B4E">
        <w:trPr>
          <w:trHeight w:val="510"/>
        </w:trPr>
        <w:tc>
          <w:tcPr>
            <w:tcW w:w="841" w:type="dxa"/>
          </w:tcPr>
          <w:p w:rsidR="00500B4E" w:rsidRPr="00C946C5" w:rsidRDefault="00BB598C"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46.</w:t>
            </w:r>
          </w:p>
        </w:tc>
        <w:tc>
          <w:tcPr>
            <w:tcW w:w="8339" w:type="dxa"/>
            <w:vAlign w:val="center"/>
          </w:tcPr>
          <w:p w:rsidR="00500B4E" w:rsidRPr="00C946C5" w:rsidRDefault="00500B4E" w:rsidP="0097111A">
            <w:pPr>
              <w:pStyle w:val="BodyTextIndent"/>
              <w:tabs>
                <w:tab w:val="left" w:pos="709"/>
              </w:tabs>
              <w:ind w:left="75" w:hanging="18"/>
              <w:rPr>
                <w:bCs/>
                <w:i w:val="0"/>
                <w:sz w:val="24"/>
                <w:szCs w:val="24"/>
              </w:rPr>
            </w:pPr>
            <w:r w:rsidRPr="00C946C5">
              <w:rPr>
                <w:i w:val="0"/>
                <w:sz w:val="24"/>
                <w:szCs w:val="24"/>
              </w:rPr>
              <w:t>Taxele pentru eliberarea formularelor necesare emiterii certificatelor de urbanism şi autorizaţiilor de construire</w:t>
            </w:r>
            <w:r w:rsidR="0097111A" w:rsidRPr="00C946C5">
              <w:rPr>
                <w:i w:val="0"/>
                <w:sz w:val="24"/>
                <w:szCs w:val="24"/>
              </w:rPr>
              <w:t>.</w:t>
            </w:r>
          </w:p>
        </w:tc>
      </w:tr>
      <w:tr w:rsidR="00500B4E" w:rsidRPr="00C946C5" w:rsidTr="00500B4E">
        <w:trPr>
          <w:trHeight w:val="510"/>
        </w:trPr>
        <w:tc>
          <w:tcPr>
            <w:tcW w:w="841" w:type="dxa"/>
          </w:tcPr>
          <w:p w:rsidR="00500B4E" w:rsidRPr="00C946C5" w:rsidRDefault="00BB598C"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47.</w:t>
            </w:r>
          </w:p>
        </w:tc>
        <w:tc>
          <w:tcPr>
            <w:tcW w:w="8339" w:type="dxa"/>
            <w:vAlign w:val="center"/>
          </w:tcPr>
          <w:p w:rsidR="00500B4E" w:rsidRPr="00C946C5" w:rsidRDefault="00500B4E" w:rsidP="0097111A">
            <w:pPr>
              <w:pStyle w:val="BodyTextIndent"/>
              <w:tabs>
                <w:tab w:val="left" w:pos="709"/>
              </w:tabs>
              <w:ind w:left="75" w:hanging="18"/>
              <w:rPr>
                <w:bCs/>
                <w:i w:val="0"/>
                <w:sz w:val="24"/>
                <w:szCs w:val="24"/>
              </w:rPr>
            </w:pPr>
            <w:r w:rsidRPr="00C946C5">
              <w:rPr>
                <w:i w:val="0"/>
                <w:iCs w:val="0"/>
                <w:sz w:val="24"/>
                <w:szCs w:val="24"/>
              </w:rPr>
              <w:t>Taxa pentru fiecare aviz obţinut, în numele solicitantului, de structura de specialitate organizată în cadrul</w:t>
            </w:r>
            <w:r w:rsidR="0097111A" w:rsidRPr="00C946C5">
              <w:rPr>
                <w:i w:val="0"/>
                <w:iCs w:val="0"/>
                <w:sz w:val="24"/>
                <w:szCs w:val="24"/>
              </w:rPr>
              <w:t xml:space="preserve"> Primăriei Municipiului Craiova.</w:t>
            </w:r>
          </w:p>
        </w:tc>
      </w:tr>
      <w:tr w:rsidR="00500B4E" w:rsidRPr="00C946C5" w:rsidTr="00500B4E">
        <w:trPr>
          <w:trHeight w:val="510"/>
        </w:trPr>
        <w:tc>
          <w:tcPr>
            <w:tcW w:w="841" w:type="dxa"/>
          </w:tcPr>
          <w:p w:rsidR="00500B4E" w:rsidRPr="00C946C5" w:rsidRDefault="00BB598C"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49.</w:t>
            </w:r>
          </w:p>
        </w:tc>
        <w:tc>
          <w:tcPr>
            <w:tcW w:w="8339" w:type="dxa"/>
            <w:vAlign w:val="center"/>
          </w:tcPr>
          <w:p w:rsidR="00500B4E" w:rsidRPr="00C946C5" w:rsidRDefault="00500B4E" w:rsidP="0097111A">
            <w:pPr>
              <w:pStyle w:val="BodyTextIndent"/>
              <w:ind w:left="75" w:hanging="18"/>
              <w:rPr>
                <w:bCs/>
                <w:i w:val="0"/>
                <w:sz w:val="24"/>
                <w:szCs w:val="24"/>
              </w:rPr>
            </w:pPr>
            <w:r w:rsidRPr="00C946C5">
              <w:rPr>
                <w:bCs/>
                <w:i w:val="0"/>
                <w:sz w:val="24"/>
                <w:szCs w:val="24"/>
              </w:rPr>
              <w:t>Taxa pentru eliberarea certificatului de atestare a stadiului construcţiei</w:t>
            </w:r>
            <w:r w:rsidR="0097111A" w:rsidRPr="00C946C5">
              <w:rPr>
                <w:bCs/>
                <w:i w:val="0"/>
                <w:sz w:val="24"/>
                <w:szCs w:val="24"/>
              </w:rPr>
              <w:t>.</w:t>
            </w:r>
          </w:p>
        </w:tc>
      </w:tr>
      <w:tr w:rsidR="00500B4E" w:rsidRPr="00C946C5" w:rsidTr="00500B4E">
        <w:trPr>
          <w:trHeight w:val="510"/>
        </w:trPr>
        <w:tc>
          <w:tcPr>
            <w:tcW w:w="841" w:type="dxa"/>
          </w:tcPr>
          <w:p w:rsidR="00500B4E" w:rsidRPr="00C946C5" w:rsidRDefault="00BB598C"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50.</w:t>
            </w:r>
          </w:p>
        </w:tc>
        <w:tc>
          <w:tcPr>
            <w:tcW w:w="8339" w:type="dxa"/>
            <w:vAlign w:val="center"/>
          </w:tcPr>
          <w:p w:rsidR="00500B4E" w:rsidRPr="00C946C5" w:rsidRDefault="00500B4E" w:rsidP="00CF358B">
            <w:pPr>
              <w:pStyle w:val="BodyTextIndent"/>
              <w:ind w:left="75" w:hanging="18"/>
              <w:rPr>
                <w:bCs/>
                <w:i w:val="0"/>
                <w:sz w:val="24"/>
                <w:szCs w:val="24"/>
              </w:rPr>
            </w:pPr>
            <w:r w:rsidRPr="00C946C5">
              <w:rPr>
                <w:bCs/>
                <w:i w:val="0"/>
                <w:sz w:val="24"/>
                <w:szCs w:val="24"/>
              </w:rPr>
              <w:t>Taxa pentru eliberarea certificatului de atestare a edificării/extinderii construcţiei</w:t>
            </w:r>
            <w:r w:rsidR="0097111A" w:rsidRPr="00C946C5">
              <w:rPr>
                <w:bCs/>
                <w:i w:val="0"/>
                <w:sz w:val="24"/>
                <w:szCs w:val="24"/>
              </w:rPr>
              <w:t>.</w:t>
            </w:r>
          </w:p>
        </w:tc>
      </w:tr>
      <w:tr w:rsidR="00500B4E" w:rsidRPr="00C946C5" w:rsidTr="00500B4E">
        <w:trPr>
          <w:trHeight w:val="510"/>
        </w:trPr>
        <w:tc>
          <w:tcPr>
            <w:tcW w:w="841" w:type="dxa"/>
          </w:tcPr>
          <w:p w:rsidR="00500B4E" w:rsidRPr="00C946C5" w:rsidRDefault="00C946C5"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51.</w:t>
            </w:r>
          </w:p>
        </w:tc>
        <w:tc>
          <w:tcPr>
            <w:tcW w:w="8339" w:type="dxa"/>
            <w:vAlign w:val="center"/>
          </w:tcPr>
          <w:p w:rsidR="00500B4E" w:rsidRPr="00C946C5" w:rsidRDefault="00500B4E" w:rsidP="0097111A">
            <w:pPr>
              <w:pStyle w:val="BodyTextIndent"/>
              <w:ind w:left="75" w:hanging="18"/>
              <w:rPr>
                <w:bCs/>
                <w:i w:val="0"/>
                <w:sz w:val="24"/>
                <w:szCs w:val="24"/>
              </w:rPr>
            </w:pPr>
            <w:r w:rsidRPr="00C946C5">
              <w:rPr>
                <w:bCs/>
                <w:i w:val="0"/>
                <w:sz w:val="24"/>
                <w:szCs w:val="24"/>
              </w:rPr>
              <w:t>Taxa pentru eliberarea certificatului de recenzat şi adresă evoluţie stradă</w:t>
            </w:r>
            <w:r w:rsidR="0097111A" w:rsidRPr="00C946C5">
              <w:rPr>
                <w:bCs/>
                <w:i w:val="0"/>
                <w:sz w:val="24"/>
                <w:szCs w:val="24"/>
              </w:rPr>
              <w:t>.</w:t>
            </w:r>
          </w:p>
        </w:tc>
      </w:tr>
      <w:tr w:rsidR="00500B4E" w:rsidRPr="00C946C5" w:rsidTr="00500B4E">
        <w:trPr>
          <w:trHeight w:val="510"/>
        </w:trPr>
        <w:tc>
          <w:tcPr>
            <w:tcW w:w="841" w:type="dxa"/>
          </w:tcPr>
          <w:p w:rsidR="00500B4E" w:rsidRPr="00C946C5" w:rsidRDefault="00C946C5"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52.</w:t>
            </w:r>
          </w:p>
        </w:tc>
        <w:tc>
          <w:tcPr>
            <w:tcW w:w="8339" w:type="dxa"/>
            <w:vAlign w:val="center"/>
          </w:tcPr>
          <w:p w:rsidR="00500B4E" w:rsidRPr="00C946C5" w:rsidRDefault="00500B4E" w:rsidP="0097111A">
            <w:pPr>
              <w:pStyle w:val="BodyTextIndent"/>
              <w:ind w:left="75" w:hanging="18"/>
              <w:rPr>
                <w:bCs/>
                <w:i w:val="0"/>
                <w:sz w:val="24"/>
                <w:szCs w:val="24"/>
              </w:rPr>
            </w:pPr>
            <w:r w:rsidRPr="00C946C5">
              <w:rPr>
                <w:bCs/>
                <w:i w:val="0"/>
                <w:sz w:val="24"/>
                <w:szCs w:val="24"/>
              </w:rPr>
              <w:t xml:space="preserve">Taxa pentru eliberarea avizului de amplasament  (banner, mash, etc, </w:t>
            </w:r>
            <w:r w:rsidR="0097111A" w:rsidRPr="00C946C5">
              <w:rPr>
                <w:bCs/>
                <w:i w:val="0"/>
                <w:sz w:val="24"/>
                <w:szCs w:val="24"/>
              </w:rPr>
              <w:t>).</w:t>
            </w:r>
          </w:p>
        </w:tc>
      </w:tr>
      <w:tr w:rsidR="00500B4E" w:rsidRPr="00C946C5" w:rsidTr="00500B4E">
        <w:trPr>
          <w:trHeight w:val="510"/>
        </w:trPr>
        <w:tc>
          <w:tcPr>
            <w:tcW w:w="841" w:type="dxa"/>
          </w:tcPr>
          <w:p w:rsidR="00500B4E" w:rsidRPr="00C946C5" w:rsidRDefault="00C946C5"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53.</w:t>
            </w:r>
          </w:p>
        </w:tc>
        <w:tc>
          <w:tcPr>
            <w:tcW w:w="8339" w:type="dxa"/>
            <w:vAlign w:val="center"/>
          </w:tcPr>
          <w:p w:rsidR="00500B4E" w:rsidRPr="00C946C5" w:rsidRDefault="00500B4E" w:rsidP="0097111A">
            <w:pPr>
              <w:pStyle w:val="BodyTextIndent"/>
              <w:ind w:left="75" w:hanging="18"/>
              <w:rPr>
                <w:bCs/>
                <w:i w:val="0"/>
                <w:sz w:val="24"/>
                <w:szCs w:val="24"/>
              </w:rPr>
            </w:pPr>
            <w:r w:rsidRPr="00C946C5">
              <w:rPr>
                <w:bCs/>
                <w:i w:val="0"/>
                <w:sz w:val="24"/>
                <w:szCs w:val="24"/>
              </w:rPr>
              <w:t>Taxa pentru eliberarea adeverinţei de intravilan</w:t>
            </w:r>
            <w:r w:rsidR="0097111A" w:rsidRPr="00C946C5">
              <w:rPr>
                <w:bCs/>
                <w:i w:val="0"/>
                <w:sz w:val="24"/>
                <w:szCs w:val="24"/>
              </w:rPr>
              <w:t>.</w:t>
            </w:r>
          </w:p>
        </w:tc>
      </w:tr>
      <w:tr w:rsidR="00500B4E" w:rsidRPr="00C946C5" w:rsidTr="00500B4E">
        <w:trPr>
          <w:trHeight w:val="510"/>
        </w:trPr>
        <w:tc>
          <w:tcPr>
            <w:tcW w:w="841" w:type="dxa"/>
          </w:tcPr>
          <w:p w:rsidR="00500B4E" w:rsidRPr="00C946C5" w:rsidRDefault="00C946C5" w:rsidP="00CF358B">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55.</w:t>
            </w:r>
          </w:p>
        </w:tc>
        <w:tc>
          <w:tcPr>
            <w:tcW w:w="8339" w:type="dxa"/>
            <w:vAlign w:val="center"/>
          </w:tcPr>
          <w:p w:rsidR="00500B4E" w:rsidRPr="00C946C5" w:rsidRDefault="00500B4E" w:rsidP="0097111A">
            <w:pPr>
              <w:pStyle w:val="BodyTextIndent"/>
              <w:ind w:left="75" w:hanging="18"/>
              <w:rPr>
                <w:i w:val="0"/>
                <w:iCs w:val="0"/>
                <w:sz w:val="24"/>
                <w:szCs w:val="24"/>
              </w:rPr>
            </w:pPr>
            <w:r w:rsidRPr="00C946C5">
              <w:rPr>
                <w:i w:val="0"/>
                <w:iCs w:val="0"/>
                <w:sz w:val="24"/>
                <w:szCs w:val="24"/>
              </w:rPr>
              <w:t>Taxa pentru eliberarea de copii după documentele solicitate în conformitate cu prevederile Legii nr.544/2001.</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56.</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bCs/>
                <w:i w:val="0"/>
                <w:sz w:val="24"/>
                <w:szCs w:val="24"/>
              </w:rPr>
              <w:t>Taxa de urgență pentru eliberarea adeverinţei de intravilan</w:t>
            </w:r>
            <w:r w:rsidR="0097111A" w:rsidRPr="00C946C5">
              <w:rPr>
                <w:bCs/>
                <w:i w:val="0"/>
                <w:sz w:val="24"/>
                <w:szCs w:val="24"/>
              </w:rPr>
              <w:t>.</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57.</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extras PUG/PUZ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58.</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certificatului de nomenclatură </w:t>
            </w:r>
            <w:r w:rsidR="0097111A" w:rsidRPr="00C946C5">
              <w:rPr>
                <w:i w:val="0"/>
                <w:iCs w:val="0"/>
                <w:sz w:val="24"/>
                <w:szCs w:val="24"/>
              </w:rPr>
              <w:t>stradală</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59.</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certificatului de recenzat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60.</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w:t>
            </w:r>
            <w:r w:rsidRPr="00C946C5">
              <w:rPr>
                <w:bCs/>
                <w:i w:val="0"/>
                <w:sz w:val="24"/>
                <w:szCs w:val="24"/>
              </w:rPr>
              <w:t xml:space="preserve">adresei evoluţie stradă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lastRenderedPageBreak/>
              <w:t>61.</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urgenţă pentru eliberarea certificatului de urbanism pentru înstrăinare/informare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62.</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obținerea avizului de amplasament (banner, panou publicitar, mash)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63.</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certificatului de atestare a edificării/extinderii construcției </w:t>
            </w:r>
          </w:p>
        </w:tc>
      </w:tr>
      <w:tr w:rsidR="00500B4E" w:rsidRPr="00C946C5" w:rsidTr="00500B4E">
        <w:trPr>
          <w:trHeight w:val="510"/>
        </w:trPr>
        <w:tc>
          <w:tcPr>
            <w:tcW w:w="841" w:type="dxa"/>
            <w:vAlign w:val="center"/>
          </w:tcPr>
          <w:p w:rsidR="00500B4E" w:rsidRPr="00C946C5" w:rsidRDefault="00C946C5" w:rsidP="0097111A">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64.</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eliberarea de copii ale documentelor existente în arhiva Primăriei Municipiului Craiova, cu excepţia celor referitoare la drepturile salariale </w:t>
            </w:r>
          </w:p>
        </w:tc>
      </w:tr>
      <w:tr w:rsidR="00500B4E" w:rsidRPr="00C946C5" w:rsidTr="00500B4E">
        <w:trPr>
          <w:trHeight w:val="510"/>
        </w:trPr>
        <w:tc>
          <w:tcPr>
            <w:tcW w:w="841" w:type="dxa"/>
            <w:vAlign w:val="center"/>
          </w:tcPr>
          <w:p w:rsidR="00500B4E" w:rsidRPr="00C946C5" w:rsidRDefault="00C946C5" w:rsidP="006C224F">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65.</w:t>
            </w:r>
          </w:p>
        </w:tc>
        <w:tc>
          <w:tcPr>
            <w:tcW w:w="8339" w:type="dxa"/>
            <w:vAlign w:val="center"/>
          </w:tcPr>
          <w:p w:rsidR="00500B4E" w:rsidRPr="00C946C5" w:rsidRDefault="00C946C5" w:rsidP="00C946C5">
            <w:pPr>
              <w:pStyle w:val="BodyTextIndent"/>
              <w:tabs>
                <w:tab w:val="left" w:pos="0"/>
              </w:tabs>
              <w:ind w:firstLine="0"/>
              <w:rPr>
                <w:i w:val="0"/>
                <w:iCs w:val="0"/>
                <w:sz w:val="24"/>
                <w:szCs w:val="24"/>
              </w:rPr>
            </w:pPr>
            <w:r w:rsidRPr="00C946C5">
              <w:rPr>
                <w:i w:val="0"/>
                <w:iCs w:val="0"/>
                <w:sz w:val="24"/>
                <w:szCs w:val="24"/>
              </w:rPr>
              <w:t>Taxa de urgenţă pentru eliberarea în termen de 24 de ore de la data înregistrării cererii, a certificatelor (duplicatelor) şi dovezilor de stare civilă, a faptelor de stare civilă, precum şi a adeverinţelor şi a furnizării datelor din Registrul Naţional de Evidenţă a Persoanelor</w:t>
            </w:r>
          </w:p>
        </w:tc>
      </w:tr>
      <w:tr w:rsidR="00500B4E" w:rsidRPr="00C946C5" w:rsidTr="00500B4E">
        <w:trPr>
          <w:trHeight w:val="510"/>
        </w:trPr>
        <w:tc>
          <w:tcPr>
            <w:tcW w:w="841" w:type="dxa"/>
            <w:vAlign w:val="center"/>
          </w:tcPr>
          <w:p w:rsidR="00500B4E" w:rsidRPr="00C946C5" w:rsidRDefault="00C946C5" w:rsidP="0097111A">
            <w:pPr>
              <w:pStyle w:val="ListParagraph"/>
              <w:ind w:left="0"/>
              <w:jc w:val="center"/>
              <w:rPr>
                <w:rFonts w:ascii="Times New Roman" w:hAnsi="Times New Roman" w:cs="Times New Roman"/>
                <w:sz w:val="24"/>
                <w:szCs w:val="24"/>
              </w:rPr>
            </w:pPr>
            <w:r w:rsidRPr="00C946C5">
              <w:rPr>
                <w:rFonts w:ascii="Times New Roman" w:hAnsi="Times New Roman" w:cs="Times New Roman"/>
                <w:sz w:val="24"/>
                <w:szCs w:val="24"/>
              </w:rPr>
              <w:t>66.</w:t>
            </w:r>
          </w:p>
        </w:tc>
        <w:tc>
          <w:tcPr>
            <w:tcW w:w="8339" w:type="dxa"/>
            <w:vAlign w:val="center"/>
          </w:tcPr>
          <w:p w:rsidR="00500B4E" w:rsidRPr="00C946C5" w:rsidRDefault="00500B4E" w:rsidP="00460504">
            <w:pPr>
              <w:pStyle w:val="BodyTextIndent"/>
              <w:tabs>
                <w:tab w:val="left" w:pos="0"/>
              </w:tabs>
              <w:ind w:firstLine="0"/>
              <w:jc w:val="left"/>
              <w:rPr>
                <w:i w:val="0"/>
                <w:iCs w:val="0"/>
                <w:sz w:val="24"/>
                <w:szCs w:val="24"/>
              </w:rPr>
            </w:pPr>
            <w:r w:rsidRPr="00C946C5">
              <w:rPr>
                <w:i w:val="0"/>
                <w:iCs w:val="0"/>
                <w:sz w:val="24"/>
                <w:szCs w:val="24"/>
              </w:rPr>
              <w:t xml:space="preserve">Taxa de urgență pentru soluționarea declarațiilor fiscale/cererilor privind impozitele și taxele locale </w:t>
            </w:r>
            <w:r w:rsidR="00C946C5">
              <w:rPr>
                <w:i w:val="0"/>
                <w:iCs w:val="0"/>
                <w:sz w:val="24"/>
                <w:szCs w:val="24"/>
              </w:rPr>
              <w:t>privind bunurile imobile</w:t>
            </w:r>
          </w:p>
        </w:tc>
      </w:tr>
      <w:tr w:rsidR="00C946C5" w:rsidRPr="00C946C5" w:rsidTr="00500B4E">
        <w:trPr>
          <w:trHeight w:val="510"/>
        </w:trPr>
        <w:tc>
          <w:tcPr>
            <w:tcW w:w="841" w:type="dxa"/>
            <w:vAlign w:val="center"/>
          </w:tcPr>
          <w:p w:rsidR="00C946C5" w:rsidRPr="00C946C5" w:rsidRDefault="00C946C5" w:rsidP="00C946C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8339" w:type="dxa"/>
            <w:vAlign w:val="center"/>
          </w:tcPr>
          <w:p w:rsidR="00C946C5" w:rsidRPr="00C946C5" w:rsidRDefault="00C946C5" w:rsidP="00C946C5">
            <w:pPr>
              <w:pStyle w:val="BodyTextIndent"/>
              <w:tabs>
                <w:tab w:val="left" w:pos="0"/>
              </w:tabs>
              <w:ind w:firstLine="0"/>
              <w:jc w:val="left"/>
              <w:rPr>
                <w:i w:val="0"/>
                <w:iCs w:val="0"/>
                <w:sz w:val="24"/>
                <w:szCs w:val="24"/>
              </w:rPr>
            </w:pPr>
            <w:r w:rsidRPr="00C946C5">
              <w:rPr>
                <w:i w:val="0"/>
                <w:iCs w:val="0"/>
                <w:sz w:val="24"/>
                <w:szCs w:val="24"/>
              </w:rPr>
              <w:t xml:space="preserve">Taxa de urgență pentru soluționarea declarațiilor fiscale/cererilor privind impozitele și taxele locale </w:t>
            </w:r>
            <w:r>
              <w:rPr>
                <w:i w:val="0"/>
                <w:iCs w:val="0"/>
                <w:sz w:val="24"/>
                <w:szCs w:val="24"/>
              </w:rPr>
              <w:t xml:space="preserve">privind </w:t>
            </w:r>
            <w:r>
              <w:rPr>
                <w:i w:val="0"/>
                <w:iCs w:val="0"/>
                <w:sz w:val="24"/>
                <w:szCs w:val="24"/>
              </w:rPr>
              <w:t>mijloacele de transport</w:t>
            </w:r>
          </w:p>
        </w:tc>
      </w:tr>
    </w:tbl>
    <w:p w:rsidR="00AA72B5" w:rsidRPr="00C946C5" w:rsidRDefault="00D77197"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br w:type="textWrapping" w:clear="all"/>
      </w:r>
      <w:r w:rsidR="00AA72B5" w:rsidRPr="00C946C5">
        <w:rPr>
          <w:rFonts w:ascii="Times New Roman" w:hAnsi="Times New Roman" w:cs="Times New Roman"/>
          <w:sz w:val="28"/>
          <w:szCs w:val="28"/>
        </w:rPr>
        <w:tab/>
      </w:r>
    </w:p>
    <w:p w:rsidR="00523364" w:rsidRPr="00C946C5" w:rsidRDefault="00523364"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Art. 5. Taxele speciale mai sus menționate constituie venituri cu destinație specială și sunt fundamentate de necesitatea acoperii cheltuielilor generate de:</w:t>
      </w:r>
    </w:p>
    <w:p w:rsidR="00523364" w:rsidRPr="00C946C5" w:rsidRDefault="00523364" w:rsidP="00460504">
      <w:pPr>
        <w:pStyle w:val="ListParagraph"/>
        <w:numPr>
          <w:ilvl w:val="0"/>
          <w:numId w:val="1"/>
        </w:numPr>
        <w:tabs>
          <w:tab w:val="left" w:pos="709"/>
          <w:tab w:val="left" w:pos="1134"/>
        </w:tabs>
        <w:spacing w:after="0" w:line="240" w:lineRule="auto"/>
        <w:ind w:left="709" w:hanging="142"/>
        <w:jc w:val="both"/>
        <w:rPr>
          <w:rFonts w:ascii="Times New Roman" w:hAnsi="Times New Roman" w:cs="Times New Roman"/>
          <w:sz w:val="28"/>
          <w:szCs w:val="28"/>
        </w:rPr>
      </w:pPr>
      <w:r w:rsidRPr="00C946C5">
        <w:rPr>
          <w:rFonts w:ascii="Times New Roman" w:hAnsi="Times New Roman" w:cs="Times New Roman"/>
          <w:sz w:val="28"/>
          <w:szCs w:val="28"/>
        </w:rPr>
        <w:t>Investiții în echipament hardware și software;</w:t>
      </w:r>
    </w:p>
    <w:p w:rsidR="00523364" w:rsidRPr="00C946C5" w:rsidRDefault="00523364" w:rsidP="00460504">
      <w:pPr>
        <w:pStyle w:val="ListParagraph"/>
        <w:numPr>
          <w:ilvl w:val="0"/>
          <w:numId w:val="1"/>
        </w:numPr>
        <w:tabs>
          <w:tab w:val="left" w:pos="709"/>
          <w:tab w:val="left" w:pos="1134"/>
        </w:tabs>
        <w:spacing w:after="0" w:line="240" w:lineRule="auto"/>
        <w:ind w:left="709" w:hanging="142"/>
        <w:jc w:val="both"/>
        <w:rPr>
          <w:rFonts w:ascii="Times New Roman" w:hAnsi="Times New Roman" w:cs="Times New Roman"/>
          <w:sz w:val="28"/>
          <w:szCs w:val="28"/>
        </w:rPr>
      </w:pPr>
      <w:r w:rsidRPr="00C946C5">
        <w:rPr>
          <w:rFonts w:ascii="Times New Roman" w:hAnsi="Times New Roman" w:cs="Times New Roman"/>
          <w:sz w:val="28"/>
          <w:szCs w:val="28"/>
        </w:rPr>
        <w:t>Menținerea în parametrii</w:t>
      </w:r>
      <w:r w:rsidR="00500B4E" w:rsidRPr="00C946C5">
        <w:rPr>
          <w:rFonts w:ascii="Times New Roman" w:hAnsi="Times New Roman" w:cs="Times New Roman"/>
          <w:sz w:val="28"/>
          <w:szCs w:val="28"/>
        </w:rPr>
        <w:t xml:space="preserve"> optimi a sistemului informatic şi a echipamentelor hardware;</w:t>
      </w:r>
    </w:p>
    <w:p w:rsidR="00523364" w:rsidRPr="00C946C5" w:rsidRDefault="00523364" w:rsidP="00460504">
      <w:pPr>
        <w:pStyle w:val="ListParagraph"/>
        <w:numPr>
          <w:ilvl w:val="0"/>
          <w:numId w:val="1"/>
        </w:numPr>
        <w:tabs>
          <w:tab w:val="left" w:pos="709"/>
          <w:tab w:val="left" w:pos="1134"/>
        </w:tabs>
        <w:spacing w:after="0" w:line="240" w:lineRule="auto"/>
        <w:ind w:left="709" w:hanging="142"/>
        <w:jc w:val="both"/>
        <w:rPr>
          <w:rFonts w:ascii="Times New Roman" w:hAnsi="Times New Roman" w:cs="Times New Roman"/>
          <w:sz w:val="28"/>
          <w:szCs w:val="28"/>
        </w:rPr>
      </w:pPr>
      <w:r w:rsidRPr="00C946C5">
        <w:rPr>
          <w:rFonts w:ascii="Times New Roman" w:hAnsi="Times New Roman" w:cs="Times New Roman"/>
          <w:sz w:val="28"/>
          <w:szCs w:val="28"/>
        </w:rPr>
        <w:t>Asigurarea consumabilelor, birotică, papetă</w:t>
      </w:r>
      <w:r w:rsidR="00C946C5">
        <w:rPr>
          <w:rFonts w:ascii="Times New Roman" w:hAnsi="Times New Roman" w:cs="Times New Roman"/>
          <w:sz w:val="28"/>
          <w:szCs w:val="28"/>
        </w:rPr>
        <w:t>rie</w:t>
      </w:r>
      <w:r w:rsidRPr="00C946C5">
        <w:rPr>
          <w:rFonts w:ascii="Times New Roman" w:hAnsi="Times New Roman" w:cs="Times New Roman"/>
          <w:sz w:val="28"/>
          <w:szCs w:val="28"/>
        </w:rPr>
        <w:t>;</w:t>
      </w:r>
    </w:p>
    <w:p w:rsidR="00523364" w:rsidRPr="00C946C5" w:rsidRDefault="00523364" w:rsidP="00460504">
      <w:pPr>
        <w:pStyle w:val="ListParagraph"/>
        <w:numPr>
          <w:ilvl w:val="0"/>
          <w:numId w:val="1"/>
        </w:numPr>
        <w:tabs>
          <w:tab w:val="left" w:pos="709"/>
          <w:tab w:val="left" w:pos="1134"/>
        </w:tabs>
        <w:spacing w:after="0" w:line="240" w:lineRule="auto"/>
        <w:ind w:left="709" w:hanging="142"/>
        <w:jc w:val="both"/>
        <w:rPr>
          <w:rFonts w:ascii="Times New Roman" w:hAnsi="Times New Roman" w:cs="Times New Roman"/>
          <w:sz w:val="28"/>
          <w:szCs w:val="28"/>
        </w:rPr>
      </w:pPr>
      <w:r w:rsidRPr="00C946C5">
        <w:rPr>
          <w:rFonts w:ascii="Times New Roman" w:hAnsi="Times New Roman" w:cs="Times New Roman"/>
          <w:sz w:val="28"/>
          <w:szCs w:val="28"/>
        </w:rPr>
        <w:t>Achiziționarea arhivei electronice.</w:t>
      </w:r>
    </w:p>
    <w:p w:rsidR="007D6871" w:rsidRPr="00C946C5" w:rsidRDefault="007D6871" w:rsidP="00AA72B5">
      <w:pPr>
        <w:pStyle w:val="ListParagraph"/>
        <w:tabs>
          <w:tab w:val="left" w:pos="709"/>
          <w:tab w:val="left" w:pos="1134"/>
        </w:tabs>
        <w:spacing w:after="0" w:line="240" w:lineRule="auto"/>
        <w:ind w:left="709" w:hanging="709"/>
        <w:jc w:val="both"/>
        <w:rPr>
          <w:rFonts w:ascii="Times New Roman" w:hAnsi="Times New Roman" w:cs="Times New Roman"/>
          <w:sz w:val="28"/>
          <w:szCs w:val="28"/>
        </w:rPr>
      </w:pPr>
    </w:p>
    <w:p w:rsidR="00A2289A" w:rsidRPr="00C946C5" w:rsidRDefault="00523364" w:rsidP="00AA72B5">
      <w:pPr>
        <w:tabs>
          <w:tab w:val="left" w:pos="709"/>
        </w:tabs>
        <w:spacing w:after="0" w:line="240" w:lineRule="auto"/>
        <w:ind w:left="709" w:hanging="709"/>
        <w:jc w:val="both"/>
        <w:rPr>
          <w:rFonts w:ascii="Times New Roman" w:hAnsi="Times New Roman" w:cs="Times New Roman"/>
          <w:sz w:val="28"/>
          <w:szCs w:val="28"/>
        </w:rPr>
      </w:pPr>
      <w:r w:rsidRPr="00C946C5">
        <w:rPr>
          <w:rFonts w:ascii="Times New Roman" w:hAnsi="Times New Roman" w:cs="Times New Roman"/>
          <w:sz w:val="28"/>
          <w:szCs w:val="28"/>
        </w:rPr>
        <w:t xml:space="preserve">Art. 6. Taxele speciale se adoptă pentru funcționarea </w:t>
      </w:r>
      <w:r w:rsidR="00500B4E" w:rsidRPr="00C946C5">
        <w:rPr>
          <w:rFonts w:ascii="Times New Roman" w:hAnsi="Times New Roman" w:cs="Times New Roman"/>
          <w:sz w:val="28"/>
          <w:szCs w:val="28"/>
        </w:rPr>
        <w:t>serviciilor</w:t>
      </w:r>
      <w:r w:rsidRPr="00C946C5">
        <w:rPr>
          <w:rFonts w:ascii="Times New Roman" w:hAnsi="Times New Roman" w:cs="Times New Roman"/>
          <w:sz w:val="28"/>
          <w:szCs w:val="28"/>
        </w:rPr>
        <w:t xml:space="preserve"> de specialitate create în interesul persoanelor fizice și juridice. Sumele provenite din taxele speciale se vor încasa la casieriile Direcției Impozite și Taxe, în bugetul local, la subcapitolul</w:t>
      </w:r>
      <w:r w:rsidR="00A2289A" w:rsidRPr="00C946C5">
        <w:rPr>
          <w:rFonts w:ascii="Times New Roman" w:hAnsi="Times New Roman" w:cs="Times New Roman"/>
          <w:sz w:val="28"/>
          <w:szCs w:val="28"/>
        </w:rPr>
        <w:t xml:space="preserve"> 36.02.06 ” Taxe speciale”.</w:t>
      </w:r>
    </w:p>
    <w:p w:rsidR="00091987" w:rsidRPr="00C946C5" w:rsidRDefault="00091987" w:rsidP="00AA72B5">
      <w:pPr>
        <w:tabs>
          <w:tab w:val="left" w:pos="709"/>
        </w:tabs>
        <w:spacing w:after="0" w:line="240" w:lineRule="auto"/>
        <w:ind w:hanging="709"/>
        <w:jc w:val="both"/>
        <w:rPr>
          <w:rFonts w:ascii="Times New Roman" w:hAnsi="Times New Roman" w:cs="Times New Roman"/>
          <w:sz w:val="28"/>
          <w:szCs w:val="28"/>
        </w:rPr>
      </w:pPr>
    </w:p>
    <w:sectPr w:rsidR="00091987" w:rsidRPr="00C946C5" w:rsidSect="0045193A">
      <w:pgSz w:w="12240" w:h="15840"/>
      <w:pgMar w:top="1135" w:right="61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70A77"/>
    <w:multiLevelType w:val="hybridMultilevel"/>
    <w:tmpl w:val="111A9340"/>
    <w:lvl w:ilvl="0" w:tplc="534C1B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3566AA"/>
    <w:multiLevelType w:val="hybridMultilevel"/>
    <w:tmpl w:val="CA40B3B4"/>
    <w:lvl w:ilvl="0" w:tplc="3A8687D0">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91987"/>
    <w:rsid w:val="00091987"/>
    <w:rsid w:val="000B0296"/>
    <w:rsid w:val="002D55DB"/>
    <w:rsid w:val="0045193A"/>
    <w:rsid w:val="00460504"/>
    <w:rsid w:val="00485D6D"/>
    <w:rsid w:val="00500B4E"/>
    <w:rsid w:val="00523364"/>
    <w:rsid w:val="0057769C"/>
    <w:rsid w:val="00613252"/>
    <w:rsid w:val="00683FC0"/>
    <w:rsid w:val="006C224F"/>
    <w:rsid w:val="007B5062"/>
    <w:rsid w:val="007D6871"/>
    <w:rsid w:val="007E4B83"/>
    <w:rsid w:val="009230E2"/>
    <w:rsid w:val="0097111A"/>
    <w:rsid w:val="0097720A"/>
    <w:rsid w:val="009E2942"/>
    <w:rsid w:val="00A2289A"/>
    <w:rsid w:val="00A33BE8"/>
    <w:rsid w:val="00A91F9F"/>
    <w:rsid w:val="00AA72B5"/>
    <w:rsid w:val="00AD48E9"/>
    <w:rsid w:val="00BB598C"/>
    <w:rsid w:val="00BC2DB5"/>
    <w:rsid w:val="00C606B5"/>
    <w:rsid w:val="00C946C5"/>
    <w:rsid w:val="00D77197"/>
    <w:rsid w:val="00E92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9C"/>
    <w:rPr>
      <w:lang w:val="ro-RO"/>
    </w:rPr>
  </w:style>
  <w:style w:type="paragraph" w:styleId="Heading8">
    <w:name w:val="heading 8"/>
    <w:basedOn w:val="Normal"/>
    <w:next w:val="Normal"/>
    <w:link w:val="Heading8Char"/>
    <w:uiPriority w:val="9"/>
    <w:semiHidden/>
    <w:unhideWhenUsed/>
    <w:qFormat/>
    <w:rsid w:val="00500B4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987"/>
    <w:rPr>
      <w:rFonts w:ascii="Segoe UI" w:hAnsi="Segoe UI" w:cs="Segoe UI"/>
      <w:sz w:val="18"/>
      <w:szCs w:val="18"/>
      <w:lang w:val="ro-RO"/>
    </w:rPr>
  </w:style>
  <w:style w:type="paragraph" w:styleId="ListParagraph">
    <w:name w:val="List Paragraph"/>
    <w:basedOn w:val="Normal"/>
    <w:uiPriority w:val="34"/>
    <w:qFormat/>
    <w:rsid w:val="00523364"/>
    <w:pPr>
      <w:ind w:left="720"/>
      <w:contextualSpacing/>
    </w:pPr>
  </w:style>
  <w:style w:type="paragraph" w:styleId="BodyTextIndent">
    <w:name w:val="Body Text Indent"/>
    <w:basedOn w:val="Normal"/>
    <w:link w:val="BodyTextIndentChar"/>
    <w:semiHidden/>
    <w:rsid w:val="00460504"/>
    <w:pPr>
      <w:spacing w:after="0" w:line="240" w:lineRule="auto"/>
      <w:ind w:firstLine="720"/>
      <w:jc w:val="both"/>
    </w:pPr>
    <w:rPr>
      <w:rFonts w:ascii="Times New Roman" w:eastAsia="Times New Roman" w:hAnsi="Times New Roman" w:cs="Times New Roman"/>
      <w:i/>
      <w:iCs/>
      <w:sz w:val="28"/>
      <w:szCs w:val="28"/>
    </w:rPr>
  </w:style>
  <w:style w:type="character" w:customStyle="1" w:styleId="BodyTextIndentChar">
    <w:name w:val="Body Text Indent Char"/>
    <w:basedOn w:val="DefaultParagraphFont"/>
    <w:link w:val="BodyTextIndent"/>
    <w:semiHidden/>
    <w:rsid w:val="00460504"/>
    <w:rPr>
      <w:rFonts w:ascii="Times New Roman" w:eastAsia="Times New Roman" w:hAnsi="Times New Roman" w:cs="Times New Roman"/>
      <w:i/>
      <w:iCs/>
      <w:sz w:val="28"/>
      <w:szCs w:val="28"/>
      <w:lang w:val="ro-RO"/>
    </w:rPr>
  </w:style>
  <w:style w:type="character" w:styleId="Hyperlink">
    <w:name w:val="Hyperlink"/>
    <w:basedOn w:val="DefaultParagraphFont"/>
    <w:uiPriority w:val="99"/>
    <w:semiHidden/>
    <w:unhideWhenUsed/>
    <w:rsid w:val="00C606B5"/>
    <w:rPr>
      <w:color w:val="0000FF"/>
      <w:u w:val="single"/>
    </w:rPr>
  </w:style>
  <w:style w:type="character" w:customStyle="1" w:styleId="Heading8Char">
    <w:name w:val="Heading 8 Char"/>
    <w:basedOn w:val="DefaultParagraphFont"/>
    <w:link w:val="Heading8"/>
    <w:uiPriority w:val="9"/>
    <w:semiHidden/>
    <w:rsid w:val="00500B4E"/>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e5.ro/Gratuit/gy3dgmju/legea-nr-50-1991-privind-autorizarea-executarii-lucrarilor-de-construct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y3dgmju/legea-nr-50-1991-privind-autorizarea-executarii-lucrarilor-de-constructii" TargetMode="External"/><Relationship Id="rId5" Type="http://schemas.openxmlformats.org/officeDocument/2006/relationships/hyperlink" Target="https://lege5.ro/Gratuit/gy3dgmju/legea-nr-50-1991-privind-autorizarea-executarii-lucrarilor-de-construct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A</cp:lastModifiedBy>
  <cp:revision>12</cp:revision>
  <cp:lastPrinted>2017-11-01T12:31:00Z</cp:lastPrinted>
  <dcterms:created xsi:type="dcterms:W3CDTF">2017-10-23T02:53:00Z</dcterms:created>
  <dcterms:modified xsi:type="dcterms:W3CDTF">2017-11-01T12:52:00Z</dcterms:modified>
</cp:coreProperties>
</file>